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附件1-1</w:t>
      </w:r>
    </w:p>
    <w:p/>
    <w:p/>
    <w:p/>
    <w:p/>
    <w:p/>
    <w:p/>
    <w:p/>
    <w:p/>
    <w:p>
      <w:pPr>
        <w:spacing w:line="560" w:lineRule="exact"/>
        <w:jc w:val="center"/>
        <w:rPr>
          <w:rFonts w:hint="eastAsia" w:ascii="TimesNewRoman" w:hAnsi="TimesNewRoman" w:eastAsia="华文中宋" w:cs="TimesNewRoman"/>
          <w:b/>
          <w:sz w:val="44"/>
          <w:szCs w:val="44"/>
        </w:rPr>
      </w:pPr>
      <w:r>
        <w:rPr>
          <w:rFonts w:hint="eastAsia" w:ascii="TimesNewRoman" w:hAnsi="TimesNewRoman" w:eastAsia="华文中宋" w:cs="TimesNewRoman"/>
          <w:b/>
          <w:sz w:val="44"/>
          <w:szCs w:val="44"/>
        </w:rPr>
        <w:t>淮北市人民政府国有资产监督管理委员会</w:t>
      </w:r>
    </w:p>
    <w:p>
      <w:pPr>
        <w:spacing w:line="560" w:lineRule="exact"/>
        <w:jc w:val="center"/>
        <w:rPr>
          <w:rFonts w:hint="eastAsia" w:ascii="TimesNewRoman" w:hAnsi="TimesNewRoman" w:eastAsia="华文中宋" w:cs="TimesNewRoman"/>
          <w:b/>
          <w:sz w:val="44"/>
          <w:szCs w:val="44"/>
        </w:rPr>
      </w:pPr>
      <w:r>
        <w:rPr>
          <w:rFonts w:hint="default" w:ascii="Times New Roman" w:hAnsi="Times New Roman" w:eastAsia="华文中宋" w:cs="Times New Roman"/>
          <w:b/>
          <w:sz w:val="44"/>
          <w:szCs w:val="44"/>
        </w:rPr>
        <w:t>2025</w:t>
      </w:r>
      <w:r>
        <w:rPr>
          <w:rFonts w:hint="eastAsia" w:ascii="TimesNewRoman" w:hAnsi="TimesNewRoman" w:eastAsia="华文中宋" w:cs="TimesNewRoman"/>
          <w:b/>
          <w:sz w:val="44"/>
          <w:szCs w:val="44"/>
        </w:rPr>
        <w:t>年部门预算</w:t>
      </w:r>
    </w:p>
    <w:p/>
    <w:p/>
    <w:p/>
    <w:p/>
    <w:p/>
    <w:p/>
    <w:p/>
    <w:p/>
    <w:p/>
    <w:p/>
    <w:p/>
    <w:p/>
    <w:p/>
    <w:p/>
    <w:p/>
    <w:p/>
    <w:p/>
    <w:p/>
    <w:p/>
    <w:p/>
    <w:p/>
    <w:p/>
    <w:p>
      <w:pPr>
        <w:pStyle w:val="6"/>
        <w:adjustRightInd w:val="0"/>
        <w:snapToGrid w:val="0"/>
        <w:spacing w:line="560" w:lineRule="exact"/>
        <w:jc w:val="center"/>
        <w:rPr>
          <w:rFonts w:ascii="TimesNewRoman" w:hAnsi="TimesNewRoman" w:eastAsia="黑体" w:cs="TimesNewRoman"/>
          <w:bCs/>
          <w:sz w:val="44"/>
          <w:szCs w:val="44"/>
        </w:rPr>
      </w:pPr>
    </w:p>
    <w:p>
      <w:pPr>
        <w:pStyle w:val="6"/>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2025年</w:t>
      </w:r>
      <w:r>
        <w:rPr>
          <w:rFonts w:hint="default" w:ascii="Times New Roman" w:hAnsi="Times New Roman" w:eastAsia="黑体" w:cs="Times New Roman"/>
          <w:bCs/>
          <w:sz w:val="44"/>
          <w:szCs w:val="44"/>
          <w:lang w:val="en-US" w:eastAsia="zh-CN"/>
        </w:rPr>
        <w:t>2</w:t>
      </w:r>
      <w:r>
        <w:rPr>
          <w:rFonts w:hint="default" w:ascii="Times New Roman" w:hAnsi="Times New Roman" w:eastAsia="黑体" w:cs="Times New Roman"/>
          <w:bCs/>
          <w:sz w:val="44"/>
          <w:szCs w:val="44"/>
        </w:rPr>
        <w:t>月</w:t>
      </w:r>
    </w:p>
    <w:p/>
    <w:p/>
    <w:p>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部门</w:t>
      </w:r>
      <w:r>
        <w:rPr>
          <w:rFonts w:hint="default" w:ascii="Times New Roman" w:hAnsi="Times New Roman" w:eastAsia="仿宋_GB2312" w:cs="Times New Roman"/>
          <w:bCs/>
          <w:sz w:val="32"/>
          <w:szCs w:val="32"/>
        </w:rPr>
        <w:t>预算构成</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3</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2025</w:t>
      </w:r>
      <w:r>
        <w:rPr>
          <w:rFonts w:hint="eastAsia" w:ascii="TimesNewRoman" w:hAnsi="TimesNewRoman" w:eastAsia="仿宋_GB2312" w:cs="TimesNewRoman"/>
          <w:bCs/>
          <w:sz w:val="32"/>
          <w:szCs w:val="32"/>
        </w:rPr>
        <w:t>年度主要工作任务</w:t>
      </w:r>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w:t>
      </w:r>
      <w:r>
        <w:rPr>
          <w:rFonts w:hint="default" w:ascii="Times New Roman" w:hAnsi="Times New Roman" w:eastAsia="仿宋_GB2312" w:cs="Times New Roman"/>
          <w:b/>
          <w:sz w:val="32"/>
          <w:szCs w:val="32"/>
        </w:rPr>
        <w:t xml:space="preserve"> 2025年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2025年收入总表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2025年支出总表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2025年财政拨款收支总表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2025年一般公共预算支出表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2025年一般公共预算基本支出表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2025年政府性基金预算支出表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2025年国有资本经营预算支出表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2025年项目支出表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2025年政府采购支出表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2025年政府购买服务支出表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w:t>
      </w:r>
      <w:r>
        <w:rPr>
          <w:rFonts w:hint="eastAsia"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2025年通用资产配置支出表</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2025年</w:t>
      </w:r>
      <w:r>
        <w:rPr>
          <w:rFonts w:hint="default" w:ascii="Times New Roman" w:hAnsi="Times New Roman" w:eastAsia="仿宋_GB2312" w:cs="Times New Roman"/>
          <w:b/>
          <w:sz w:val="32"/>
          <w:szCs w:val="32"/>
          <w:lang w:eastAsia="zh-CN"/>
        </w:rPr>
        <w:t>部门</w:t>
      </w:r>
      <w:r>
        <w:rPr>
          <w:rFonts w:hint="default" w:ascii="Times New Roman" w:hAnsi="Times New Roman" w:eastAsia="仿宋_GB2312" w:cs="Times New Roman"/>
          <w:b/>
          <w:sz w:val="32"/>
          <w:szCs w:val="32"/>
        </w:rPr>
        <w:t>预算情况说明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pPr>
        <w:widowControl/>
        <w:adjustRightInd w:val="0"/>
        <w:snapToGrid w:val="0"/>
        <w:spacing w:before="100" w:beforeAutospacing="1" w:after="100" w:afterAutospacing="1" w:line="400" w:lineRule="exact"/>
        <w:ind w:firstLine="800" w:firstLineChars="250"/>
        <w:jc w:val="left"/>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12、关于2025年通用资产配置支出表的说明</w:t>
      </w:r>
    </w:p>
    <w:p>
      <w:pPr>
        <w:widowControl/>
        <w:adjustRightInd w:val="0"/>
        <w:snapToGrid w:val="0"/>
        <w:spacing w:before="100" w:beforeAutospacing="1" w:after="100" w:afterAutospacing="1" w:line="400" w:lineRule="exact"/>
        <w:ind w:firstLine="800" w:firstLineChars="250"/>
        <w:jc w:val="left"/>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13、其他重要事项情况说明</w:t>
      </w:r>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6"/>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2025年部门预算纳入绩效考评项目表</w:t>
      </w:r>
    </w:p>
    <w:p>
      <w:pPr>
        <w:pStyle w:val="6"/>
        <w:adjustRightInd w:val="0"/>
        <w:snapToGrid w:val="0"/>
        <w:spacing w:line="400" w:lineRule="exact"/>
        <w:ind w:firstLine="800" w:firstLineChars="250"/>
        <w:rPr>
          <w:rFonts w:ascii="TimesNewRoman" w:hAnsi="TimesNewRoman" w:eastAsia="仿宋_GB2312" w:cs="TimesNew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eastAsia="zh-CN"/>
        </w:rPr>
        <w:t>淮北市人民政府国有资产监督管理委员会</w:t>
      </w:r>
      <w:r>
        <w:rPr>
          <w:rFonts w:hint="default" w:ascii="Times New Roman" w:hAnsi="Times New Roman" w:eastAsia="仿宋_GB2312" w:cs="Times New Roman"/>
          <w:bCs/>
          <w:sz w:val="32"/>
          <w:szCs w:val="32"/>
        </w:rPr>
        <w:t>2025年部门预算专项资金管理清单（专栏公开）</w:t>
      </w:r>
    </w:p>
    <w:p>
      <w:pPr>
        <w:pStyle w:val="6"/>
        <w:adjustRightInd w:val="0"/>
        <w:snapToGrid w:val="0"/>
        <w:spacing w:line="400" w:lineRule="exact"/>
        <w:ind w:firstLine="800" w:firstLineChars="250"/>
        <w:rPr>
          <w:rFonts w:ascii="TimesNewRoman" w:hAnsi="TimesNewRoman" w:eastAsia="仿宋_GB2312" w:cs="TimesNewRoman"/>
          <w:bCs/>
          <w:sz w:val="32"/>
          <w:szCs w:val="32"/>
        </w:rPr>
      </w:pPr>
    </w:p>
    <w:p>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（一）根据市政府授权，依照《中华人民共和国公司法》、《中华人民共和国企业国有资产法》等法律和行政法规履行出资人职责，监管所监管企业的国有资产，加强国有资产的管理工作。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二）承担监督所监管企业国有资产保值增值的责任。建立和完善国有资产保值增值指标体系，制定考核标准，对所监管企业国有资产的保值增值情况进行监管，指导所监管企业收入分配制度改革，制定所监管企业负责人薪酬分配政策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（三）指导推进国有企业改革和重组，推进国有企业的现代企业制度建设，完善公司治理结构，参与指导所监管企业投资融资工作，推动国有经济布局和结构的战略性调整。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（四）通过法定程序对所监管企业负责人进行任免、考核，并根据其经营业绩进行奖惩。建立符合社会主义市场经济体制和现代企业制度要求的选人、用人机制，完善经营者激励和约束制度。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（五）按照有关规定，参与制定国有资本经营预算有关管理制度和办法，负责所监管企业国有资本经营预决算编制和执行等工作，负责组织所监管企业上交国有资本收益，提出国有资本预算收入的使用建议。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（六）按照出资人职责，负责督促检查所监管企业贯彻落实国家安全生产方针政策及有关法律法规、标准等工作。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（七）负责企业国有资产基础管理，拟定国有资产管理的地方性法规规章草案及相关制度并监督实施。依法对全市企业国有资产管理工作进行指导和监督。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（八）协调推进企业上市和重组、兼并工作，培育上市后备企业。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（九）承办市委、市政府交办的其他事项。</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淮北市人民政府国有资产监督管理委员会</w:t>
      </w:r>
      <w:r>
        <w:rPr>
          <w:rFonts w:hint="default" w:ascii="Times New Roman" w:hAnsi="Times New Roman" w:eastAsia="仿宋_GB2312" w:cs="Times New Roman"/>
          <w:sz w:val="32"/>
          <w:szCs w:val="32"/>
        </w:rPr>
        <w:t>2025年</w:t>
      </w:r>
      <w:r>
        <w:rPr>
          <w:rFonts w:hint="eastAsia" w:ascii="TimesNewRoman" w:hAnsi="TimesNewRoman" w:eastAsia="仿宋_GB2312" w:cs="TimesNewRoman"/>
          <w:sz w:val="32"/>
          <w:szCs w:val="32"/>
        </w:rPr>
        <w:t>度部门预算仅包括局本级预算，无其他下属单位预算。</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三、2025年度主要工作任务</w:t>
      </w:r>
    </w:p>
    <w:p>
      <w:pPr>
        <w:keepNext w:val="0"/>
        <w:keepLines w:val="0"/>
        <w:pageBreakBefore w:val="0"/>
        <w:widowControl/>
        <w:kinsoku/>
        <w:wordWrap/>
        <w:autoSpaceDE/>
        <w:autoSpaceDN/>
        <w:bidi w:val="0"/>
        <w:spacing w:line="580" w:lineRule="exact"/>
        <w:ind w:left="0" w:right="0" w:firstLine="643" w:firstLineChars="200"/>
        <w:jc w:val="both"/>
        <w:textAlignment w:val="auto"/>
        <w:rPr>
          <w:rFonts w:hint="default" w:ascii="Times New Roman" w:hAnsi="Times New Roman" w:eastAsia="楷体_GB2312" w:cs="Times New Roman"/>
          <w:b/>
          <w:bCs/>
          <w:color w:val="auto"/>
          <w:spacing w:val="0"/>
          <w:kern w:val="2"/>
          <w:sz w:val="32"/>
          <w:szCs w:val="32"/>
          <w:highlight w:val="none"/>
          <w:lang w:val="en-US" w:eastAsia="zh-CN" w:bidi="ar-SA"/>
        </w:rPr>
      </w:pPr>
      <w:r>
        <w:rPr>
          <w:rStyle w:val="9"/>
          <w:rFonts w:hint="default" w:ascii="Times New Roman" w:hAnsi="Times New Roman" w:eastAsia="楷体_GB2312" w:cs="Times New Roman"/>
          <w:i w:val="0"/>
          <w:iCs w:val="0"/>
          <w:caps w:val="0"/>
          <w:color w:val="auto"/>
          <w:spacing w:val="0"/>
          <w:sz w:val="32"/>
          <w:szCs w:val="32"/>
          <w:shd w:val="clear" w:color="auto" w:fill="FFFFFF"/>
        </w:rPr>
        <w:t>（</w:t>
      </w:r>
      <w:r>
        <w:rPr>
          <w:rStyle w:val="9"/>
          <w:rFonts w:hint="default" w:ascii="Times New Roman" w:hAnsi="Times New Roman" w:eastAsia="楷体_GB2312" w:cs="Times New Roman"/>
          <w:i w:val="0"/>
          <w:iCs w:val="0"/>
          <w:caps w:val="0"/>
          <w:color w:val="auto"/>
          <w:spacing w:val="0"/>
          <w:sz w:val="32"/>
          <w:szCs w:val="32"/>
          <w:shd w:val="clear" w:color="auto" w:fill="FFFFFF"/>
          <w:lang w:val="en-US" w:eastAsia="zh-CN"/>
        </w:rPr>
        <w:t>一</w:t>
      </w:r>
      <w:r>
        <w:rPr>
          <w:rStyle w:val="9"/>
          <w:rFonts w:hint="default" w:ascii="Times New Roman" w:hAnsi="Times New Roman" w:eastAsia="楷体_GB2312" w:cs="Times New Roman"/>
          <w:i w:val="0"/>
          <w:iCs w:val="0"/>
          <w:caps w:val="0"/>
          <w:color w:val="auto"/>
          <w:spacing w:val="0"/>
          <w:sz w:val="32"/>
          <w:szCs w:val="32"/>
          <w:shd w:val="clear" w:color="auto" w:fill="FFFFFF"/>
        </w:rPr>
        <w:t>）突出抓改革攻坚激活力。</w:t>
      </w:r>
      <w:r>
        <w:rPr>
          <w:rFonts w:hint="default" w:ascii="Times New Roman" w:hAnsi="Times New Roman" w:eastAsia="仿宋_GB2312" w:cs="Times New Roman"/>
          <w:color w:val="auto"/>
          <w:spacing w:val="0"/>
          <w:kern w:val="2"/>
          <w:sz w:val="32"/>
          <w:szCs w:val="32"/>
          <w:highlight w:val="none"/>
          <w:lang w:val="en-US" w:eastAsia="zh-CN" w:bidi="ar-SA"/>
        </w:rPr>
        <w:t>推动</w:t>
      </w:r>
      <w:r>
        <w:rPr>
          <w:rFonts w:hint="default" w:ascii="Times New Roman" w:hAnsi="Times New Roman" w:eastAsia="仿宋_GB2312" w:cs="Times New Roman"/>
          <w:color w:val="auto"/>
          <w:spacing w:val="0"/>
          <w:sz w:val="32"/>
          <w:szCs w:val="32"/>
          <w:highlight w:val="none"/>
          <w:lang w:val="en-US" w:eastAsia="zh-CN"/>
        </w:rPr>
        <w:t>实施市属企业主业管理办法和投资负面清单，落实投资管理制度，引导国有企业强化主责主业管理，推动国有资本、资源向主业企业、优势企业集中。有序开展“压减”工作，精准压缩管理层级、减少法人户数，推动企业优化组织结构，提升国有资本配置效率。服务全市发展大局</w:t>
      </w:r>
      <w:r>
        <w:rPr>
          <w:rFonts w:hint="default" w:ascii="Times New Roman" w:hAnsi="Times New Roman" w:eastAsia="仿宋_GB2312" w:cs="Times New Roman"/>
          <w:color w:val="auto"/>
          <w:spacing w:val="0"/>
          <w:sz w:val="32"/>
          <w:szCs w:val="32"/>
          <w:highlight w:val="none"/>
          <w:lang w:val="zh-CN" w:eastAsia="zh-CN"/>
        </w:rPr>
        <w:t>，以“五群十链”为重点</w:t>
      </w:r>
      <w:r>
        <w:rPr>
          <w:rFonts w:hint="default" w:ascii="Times New Roman" w:hAnsi="Times New Roman" w:eastAsia="仿宋_GB2312" w:cs="Times New Roman"/>
          <w:color w:val="auto"/>
          <w:spacing w:val="0"/>
          <w:sz w:val="32"/>
          <w:szCs w:val="32"/>
          <w:highlight w:val="none"/>
          <w:lang w:val="en-US" w:eastAsia="zh-CN"/>
        </w:rPr>
        <w:t>，发挥国有资本投资引导、安全保障等作用，不断增强国资国企核心功能和竞争力。</w:t>
      </w:r>
    </w:p>
    <w:p>
      <w:pPr>
        <w:keepNext w:val="0"/>
        <w:keepLines w:val="0"/>
        <w:pageBreakBefore w:val="0"/>
        <w:widowControl/>
        <w:kinsoku/>
        <w:wordWrap/>
        <w:autoSpaceDE/>
        <w:autoSpaceDN/>
        <w:bidi w:val="0"/>
        <w:spacing w:line="580" w:lineRule="exact"/>
        <w:ind w:left="0" w:right="0" w:firstLine="643" w:firstLineChars="200"/>
        <w:jc w:val="both"/>
        <w:textAlignment w:val="auto"/>
        <w:rPr>
          <w:rFonts w:hint="default" w:ascii="Times New Roman" w:hAnsi="Times New Roman" w:eastAsia="楷体_GB2312" w:cs="Times New Roman"/>
          <w:b/>
          <w:bCs/>
          <w:color w:val="auto"/>
          <w:spacing w:val="0"/>
          <w:kern w:val="2"/>
          <w:sz w:val="32"/>
          <w:szCs w:val="32"/>
          <w:lang w:val="en-US" w:eastAsia="zh-CN" w:bidi="ar-SA"/>
        </w:rPr>
      </w:pPr>
      <w:r>
        <w:rPr>
          <w:rFonts w:hint="eastAsia" w:ascii="Times New Roman" w:hAnsi="Times New Roman" w:eastAsia="楷体_GB2312" w:cs="Times New Roman"/>
          <w:b/>
          <w:bCs/>
          <w:color w:val="auto"/>
          <w:spacing w:val="0"/>
          <w:kern w:val="2"/>
          <w:sz w:val="32"/>
          <w:szCs w:val="32"/>
          <w:highlight w:val="none"/>
          <w:lang w:val="en-US" w:eastAsia="zh-CN" w:bidi="ar-SA"/>
        </w:rPr>
        <w:t>（二）</w:t>
      </w:r>
      <w:r>
        <w:rPr>
          <w:rFonts w:hint="default" w:ascii="Times New Roman" w:hAnsi="Times New Roman" w:eastAsia="楷体_GB2312" w:cs="Times New Roman"/>
          <w:b/>
          <w:bCs/>
          <w:color w:val="auto"/>
          <w:spacing w:val="0"/>
          <w:kern w:val="2"/>
          <w:sz w:val="32"/>
          <w:szCs w:val="32"/>
          <w:highlight w:val="none"/>
          <w:lang w:val="en-US" w:eastAsia="zh-CN" w:bidi="ar-SA"/>
        </w:rPr>
        <w:t>突出抓企业上市促发展。</w:t>
      </w:r>
      <w:r>
        <w:rPr>
          <w:rFonts w:hint="default" w:ascii="Times New Roman" w:hAnsi="Times New Roman" w:eastAsia="仿宋_GB2312" w:cs="Times New Roman"/>
          <w:b w:val="0"/>
          <w:bCs/>
          <w:color w:val="auto"/>
          <w:sz w:val="32"/>
          <w:szCs w:val="32"/>
          <w:highlight w:val="none"/>
          <w:lang w:val="en-US" w:eastAsia="zh-CN"/>
        </w:rPr>
        <w:t>紧盯目标，精准辅导，密切跟踪金岩高新和弘昌新材料等重点企业上市全过程，全力解决企业上市期间所需解决的问题。严格落实领导包保和常态化调度“双机制”，坚持“一企一策”，强化全链条跟踪服务协调机制，持续加强与中介机构、交易所的沟通对接，争取更大力度支持。分类调研，不定期邀约资本市场专家走访指导企业，加大力度培育龙波电气、润岳科技等后备企业，引导企业资本与产业创新双向奔赴，尽早步入资本市场。</w:t>
      </w:r>
    </w:p>
    <w:p>
      <w:pPr>
        <w:keepNext w:val="0"/>
        <w:keepLines w:val="0"/>
        <w:pageBreakBefore w:val="0"/>
        <w:widowControl/>
        <w:kinsoku/>
        <w:wordWrap/>
        <w:autoSpaceDE/>
        <w:autoSpaceDN/>
        <w:bidi w:val="0"/>
        <w:spacing w:line="580" w:lineRule="exact"/>
        <w:ind w:left="0" w:right="0" w:firstLine="643" w:firstLineChars="200"/>
        <w:jc w:val="both"/>
        <w:textAlignment w:val="auto"/>
        <w:rPr>
          <w:rStyle w:val="9"/>
          <w:rFonts w:hint="default" w:ascii="Times New Roman" w:hAnsi="Times New Roman" w:eastAsia="楷体_GB2312" w:cs="Times New Roman"/>
          <w:i w:val="0"/>
          <w:iCs w:val="0"/>
          <w:caps w:val="0"/>
          <w:color w:val="auto"/>
          <w:spacing w:val="0"/>
          <w:sz w:val="32"/>
          <w:szCs w:val="32"/>
          <w:shd w:val="clear" w:color="auto" w:fill="FFFFFF"/>
        </w:rPr>
      </w:pPr>
      <w:r>
        <w:rPr>
          <w:rFonts w:hint="default" w:ascii="Times New Roman" w:hAnsi="Times New Roman" w:eastAsia="楷体_GB2312" w:cs="Times New Roman"/>
          <w:b/>
          <w:bCs/>
          <w:color w:val="auto"/>
          <w:spacing w:val="0"/>
          <w:kern w:val="2"/>
          <w:sz w:val="32"/>
          <w:szCs w:val="32"/>
          <w:lang w:val="en-US" w:eastAsia="zh-CN" w:bidi="ar-SA"/>
        </w:rPr>
        <w:t>（</w:t>
      </w:r>
      <w:r>
        <w:rPr>
          <w:rFonts w:hint="eastAsia" w:ascii="Times New Roman" w:hAnsi="Times New Roman" w:eastAsia="楷体_GB2312" w:cs="Times New Roman"/>
          <w:b/>
          <w:bCs/>
          <w:color w:val="auto"/>
          <w:spacing w:val="0"/>
          <w:kern w:val="2"/>
          <w:sz w:val="32"/>
          <w:szCs w:val="32"/>
          <w:lang w:val="en-US" w:eastAsia="zh-CN" w:bidi="ar-SA"/>
        </w:rPr>
        <w:t>三</w:t>
      </w:r>
      <w:r>
        <w:rPr>
          <w:rFonts w:hint="default" w:ascii="Times New Roman" w:hAnsi="Times New Roman" w:eastAsia="楷体_GB2312" w:cs="Times New Roman"/>
          <w:b/>
          <w:bCs/>
          <w:color w:val="auto"/>
          <w:spacing w:val="0"/>
          <w:kern w:val="2"/>
          <w:sz w:val="32"/>
          <w:szCs w:val="32"/>
          <w:lang w:val="en-US" w:eastAsia="zh-CN" w:bidi="ar-SA"/>
        </w:rPr>
        <w:t>）突出抓协同合作强保障。</w:t>
      </w:r>
      <w:r>
        <w:rPr>
          <w:rFonts w:hint="default" w:ascii="Times New Roman" w:hAnsi="Times New Roman" w:eastAsia="仿宋_GB2312" w:cs="Times New Roman"/>
          <w:color w:val="auto"/>
          <w:spacing w:val="0"/>
          <w:kern w:val="2"/>
          <w:sz w:val="32"/>
          <w:szCs w:val="32"/>
          <w:highlight w:val="none"/>
          <w:lang w:val="en-US" w:eastAsia="zh-CN" w:bidi="ar-SA"/>
        </w:rPr>
        <w:t>持续做好央地、省地合作项目调度，充分发挥协调推进作用，凝聚合作共识和合力，推动合作项目加快落地见效，促进合作走深走实。支持市属企业深挖资源禀赋潜力，围绕国家战略部署，结合我市发展实际，积极谋划与央企、省企合作项目，拓展合作空间，强化发展协同。深化央企、省企与市县（区）属企业联动，实现资源优势互补。</w:t>
      </w:r>
    </w:p>
    <w:p>
      <w:pPr>
        <w:keepNext w:val="0"/>
        <w:keepLines w:val="0"/>
        <w:pageBreakBefore w:val="0"/>
        <w:widowControl/>
        <w:numPr>
          <w:ilvl w:val="0"/>
          <w:numId w:val="0"/>
        </w:numPr>
        <w:kinsoku/>
        <w:wordWrap/>
        <w:autoSpaceDE/>
        <w:autoSpaceDN/>
        <w:bidi w:val="0"/>
        <w:spacing w:line="580" w:lineRule="exact"/>
        <w:ind w:left="0" w:right="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Style w:val="9"/>
          <w:rFonts w:hint="default" w:ascii="Times New Roman" w:hAnsi="Times New Roman" w:eastAsia="楷体_GB2312" w:cs="Times New Roman"/>
          <w:i w:val="0"/>
          <w:iCs w:val="0"/>
          <w:caps w:val="0"/>
          <w:color w:val="auto"/>
          <w:spacing w:val="0"/>
          <w:sz w:val="32"/>
          <w:szCs w:val="32"/>
          <w:shd w:val="clear" w:color="auto" w:fill="FFFFFF"/>
        </w:rPr>
        <w:t>（</w:t>
      </w:r>
      <w:r>
        <w:rPr>
          <w:rStyle w:val="9"/>
          <w:rFonts w:hint="eastAsia" w:ascii="Times New Roman" w:hAnsi="Times New Roman" w:eastAsia="楷体_GB2312" w:cs="Times New Roman"/>
          <w:i w:val="0"/>
          <w:iCs w:val="0"/>
          <w:caps w:val="0"/>
          <w:color w:val="auto"/>
          <w:spacing w:val="0"/>
          <w:sz w:val="32"/>
          <w:szCs w:val="32"/>
          <w:shd w:val="clear" w:color="auto" w:fill="FFFFFF"/>
          <w:lang w:val="en-US" w:eastAsia="zh-CN"/>
        </w:rPr>
        <w:t>四</w:t>
      </w:r>
      <w:r>
        <w:rPr>
          <w:rStyle w:val="9"/>
          <w:rFonts w:hint="default" w:ascii="Times New Roman" w:hAnsi="Times New Roman" w:eastAsia="楷体_GB2312" w:cs="Times New Roman"/>
          <w:i w:val="0"/>
          <w:iCs w:val="0"/>
          <w:caps w:val="0"/>
          <w:color w:val="auto"/>
          <w:spacing w:val="0"/>
          <w:sz w:val="32"/>
          <w:szCs w:val="32"/>
          <w:shd w:val="clear" w:color="auto" w:fill="FFFFFF"/>
        </w:rPr>
        <w:t>）突出抓</w:t>
      </w:r>
      <w:r>
        <w:rPr>
          <w:rStyle w:val="9"/>
          <w:rFonts w:hint="default" w:ascii="Times New Roman" w:hAnsi="Times New Roman" w:eastAsia="楷体_GB2312" w:cs="Times New Roman"/>
          <w:i w:val="0"/>
          <w:iCs w:val="0"/>
          <w:caps w:val="0"/>
          <w:color w:val="auto"/>
          <w:spacing w:val="0"/>
          <w:sz w:val="32"/>
          <w:szCs w:val="32"/>
          <w:shd w:val="clear" w:color="auto" w:fill="FFFFFF"/>
          <w:lang w:val="en-US" w:eastAsia="zh-CN"/>
        </w:rPr>
        <w:t>国资监管控风险</w:t>
      </w:r>
      <w:r>
        <w:rPr>
          <w:rStyle w:val="9"/>
          <w:rFonts w:hint="default" w:ascii="Times New Roman" w:hAnsi="Times New Roman" w:eastAsia="楷体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color w:val="auto"/>
          <w:spacing w:val="0"/>
          <w:kern w:val="2"/>
          <w:sz w:val="32"/>
          <w:szCs w:val="32"/>
          <w:highlight w:val="none"/>
          <w:lang w:val="en-US" w:eastAsia="zh-CN" w:bidi="ar-SA"/>
        </w:rPr>
        <w:t>以“数字监管、智能应用”为目标，构建</w:t>
      </w:r>
      <w:r>
        <w:rPr>
          <w:rFonts w:hint="default" w:ascii="Times New Roman" w:hAnsi="Times New Roman" w:eastAsia="仿宋_GB2312" w:cs="Times New Roman"/>
          <w:color w:val="auto"/>
          <w:spacing w:val="0"/>
          <w:sz w:val="32"/>
          <w:szCs w:val="32"/>
          <w:highlight w:val="none"/>
          <w:lang w:val="en-US" w:eastAsia="zh-CN"/>
        </w:rPr>
        <w:t>“智淮国资”数智平台，实现业务监督、综合监督、责任追究三位一体有机结合。完善以管资本为主的国资监管数据指标体系，建立覆盖市属企业、县区国资委及其监管企业的数智化管理体系，形成穿透、智慧、安全的国资国企监管体系。</w:t>
      </w:r>
      <w:r>
        <w:rPr>
          <w:rFonts w:hint="default" w:ascii="Times New Roman" w:hAnsi="Times New Roman" w:eastAsia="仿宋_GB2312" w:cs="Times New Roman"/>
          <w:bCs/>
          <w:color w:val="auto"/>
          <w:sz w:val="32"/>
          <w:szCs w:val="32"/>
          <w:highlight w:val="none"/>
          <w:lang w:val="en-US" w:eastAsia="zh-CN"/>
        </w:rPr>
        <w:t>加快推进市属企业司库体系建设，2025年底前实现所有权属企业银行账户的统一管理。研究开展国资国企在线监管系统二期建设，</w:t>
      </w:r>
      <w:r>
        <w:rPr>
          <w:rFonts w:hint="default" w:ascii="Times New Roman" w:hAnsi="Times New Roman" w:eastAsia="仿宋_GB2312" w:cs="Times New Roman"/>
          <w:b w:val="0"/>
          <w:bCs/>
          <w:color w:val="auto"/>
          <w:sz w:val="32"/>
          <w:szCs w:val="32"/>
          <w:highlight w:val="none"/>
          <w:lang w:val="en-US" w:eastAsia="zh-CN"/>
        </w:rPr>
        <w:t>推动国资监督管理向智能化、精细化转型。</w:t>
      </w:r>
    </w:p>
    <w:p>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w:t>
      </w:r>
      <w:r>
        <w:rPr>
          <w:rFonts w:hint="eastAsia" w:ascii="Times New Roman" w:hAnsi="Times New Roman" w:eastAsia="楷体_GB2312" w:cs="Times New Roman"/>
          <w:b/>
          <w:bCs/>
          <w:color w:val="auto"/>
          <w:kern w:val="2"/>
          <w:sz w:val="32"/>
          <w:szCs w:val="32"/>
          <w:highlight w:val="none"/>
          <w:lang w:val="en-US" w:eastAsia="zh-CN" w:bidi="ar-SA"/>
        </w:rPr>
        <w:t>五</w:t>
      </w:r>
      <w:r>
        <w:rPr>
          <w:rFonts w:hint="default" w:ascii="Times New Roman" w:hAnsi="Times New Roman" w:eastAsia="楷体_GB2312" w:cs="Times New Roman"/>
          <w:b/>
          <w:bCs/>
          <w:color w:val="auto"/>
          <w:kern w:val="2"/>
          <w:sz w:val="32"/>
          <w:szCs w:val="32"/>
          <w:highlight w:val="none"/>
          <w:lang w:val="en-US" w:eastAsia="zh-CN" w:bidi="ar-SA"/>
        </w:rPr>
        <w:t>）突出抓放管结合促协同。</w:t>
      </w:r>
      <w:r>
        <w:rPr>
          <w:rFonts w:hint="default" w:ascii="Times New Roman" w:hAnsi="Times New Roman" w:eastAsia="仿宋_GB2312" w:cs="Times New Roman"/>
          <w:b w:val="0"/>
          <w:bCs/>
          <w:color w:val="auto"/>
          <w:sz w:val="32"/>
          <w:szCs w:val="32"/>
          <w:highlight w:val="none"/>
          <w:lang w:val="en-US" w:eastAsia="zh-CN"/>
        </w:rPr>
        <w:t>根据市属企业功能定位，科学制定</w:t>
      </w:r>
      <w:r>
        <w:rPr>
          <w:rFonts w:hint="default" w:ascii="Times New Roman" w:hAnsi="Times New Roman" w:eastAsia="仿宋_GB2312" w:cs="Times New Roman"/>
          <w:b w:val="0"/>
          <w:bCs/>
          <w:color w:val="auto"/>
          <w:sz w:val="32"/>
          <w:szCs w:val="32"/>
          <w:highlight w:val="none"/>
        </w:rPr>
        <w:t>年度考核</w:t>
      </w:r>
      <w:r>
        <w:rPr>
          <w:rFonts w:hint="default" w:ascii="Times New Roman" w:hAnsi="Times New Roman" w:eastAsia="仿宋_GB2312" w:cs="Times New Roman"/>
          <w:b w:val="0"/>
          <w:bCs/>
          <w:color w:val="auto"/>
          <w:sz w:val="32"/>
          <w:szCs w:val="32"/>
          <w:highlight w:val="none"/>
          <w:lang w:val="en-US" w:eastAsia="zh-CN"/>
        </w:rPr>
        <w:t>指标。</w:t>
      </w:r>
      <w:r>
        <w:rPr>
          <w:rFonts w:hint="default" w:ascii="Times New Roman" w:hAnsi="Times New Roman" w:eastAsia="仿宋_GB2312" w:cs="Times New Roman"/>
          <w:bCs/>
          <w:color w:val="auto"/>
          <w:sz w:val="32"/>
          <w:szCs w:val="32"/>
          <w:highlight w:val="none"/>
          <w:lang w:eastAsia="zh-CN"/>
        </w:rPr>
        <w:t>以高质量发展为引领，推动考核更加突出质量导向、效益导向及出资人意图。</w:t>
      </w:r>
      <w:r>
        <w:rPr>
          <w:rFonts w:hint="default" w:ascii="Times New Roman" w:hAnsi="Times New Roman" w:eastAsia="仿宋_GB2312" w:cs="Times New Roman"/>
          <w:color w:val="auto"/>
          <w:spacing w:val="0"/>
          <w:kern w:val="2"/>
          <w:sz w:val="32"/>
          <w:szCs w:val="32"/>
          <w:highlight w:val="none"/>
          <w:lang w:val="zh-CN" w:eastAsia="zh-CN" w:bidi="ar-SA"/>
        </w:rPr>
        <w:t>设置更有针对性、个性化的考核指标，</w:t>
      </w:r>
      <w:r>
        <w:rPr>
          <w:rFonts w:hint="default" w:ascii="Times New Roman" w:hAnsi="Times New Roman" w:eastAsia="仿宋_GB2312" w:cs="Times New Roman"/>
          <w:color w:val="auto"/>
          <w:spacing w:val="0"/>
          <w:kern w:val="2"/>
          <w:sz w:val="32"/>
          <w:szCs w:val="32"/>
          <w:highlight w:val="none"/>
          <w:lang w:val="en-US" w:eastAsia="zh-CN" w:bidi="ar-SA"/>
        </w:rPr>
        <w:t>对</w:t>
      </w:r>
      <w:r>
        <w:rPr>
          <w:rFonts w:hint="default" w:ascii="Times New Roman" w:hAnsi="Times New Roman" w:eastAsia="仿宋_GB2312" w:cs="Times New Roman"/>
          <w:color w:val="auto"/>
          <w:spacing w:val="0"/>
          <w:kern w:val="2"/>
          <w:sz w:val="32"/>
          <w:szCs w:val="32"/>
          <w:highlight w:val="none"/>
          <w:lang w:val="zh-CN" w:eastAsia="zh-CN" w:bidi="ar-SA"/>
        </w:rPr>
        <w:t>市属企业实行“一业一策、一企一策”考核</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持续推动市属企业合规管理工作，指导市属企业健全合规管理组织体系，落实首席合规官制度，完善重点领域合规管理文件，开展合规风险预警及识别。严格按照国有资本经营预算管理要求，组织所属企业按申报、上缴国有资本收益，确保国有资本收益应收尽收、足额缴纳，提升市属国有企业对地方经济社会发展的贡献度。</w:t>
      </w:r>
    </w:p>
    <w:p>
      <w:pPr>
        <w:ind w:firstLine="643" w:firstLineChars="200"/>
        <w:rPr>
          <w:rFonts w:hint="eastAsia" w:ascii="仿宋_GB2312" w:eastAsia="仿宋_GB2312"/>
          <w:sz w:val="32"/>
          <w:szCs w:val="32"/>
        </w:rPr>
      </w:pPr>
      <w:r>
        <w:rPr>
          <w:rStyle w:val="9"/>
          <w:rFonts w:hint="default" w:ascii="Times New Roman" w:hAnsi="Times New Roman" w:eastAsia="楷体_GB2312" w:cs="Times New Roman"/>
          <w:i w:val="0"/>
          <w:iCs w:val="0"/>
          <w:caps w:val="0"/>
          <w:color w:val="auto"/>
          <w:spacing w:val="0"/>
          <w:sz w:val="32"/>
          <w:szCs w:val="32"/>
          <w:shd w:val="clear" w:color="auto" w:fill="FFFFFF"/>
        </w:rPr>
        <w:t>（</w:t>
      </w:r>
      <w:r>
        <w:rPr>
          <w:rStyle w:val="9"/>
          <w:rFonts w:hint="eastAsia" w:ascii="Times New Roman" w:hAnsi="Times New Roman" w:eastAsia="楷体_GB2312" w:cs="Times New Roman"/>
          <w:i w:val="0"/>
          <w:iCs w:val="0"/>
          <w:caps w:val="0"/>
          <w:color w:val="auto"/>
          <w:spacing w:val="0"/>
          <w:sz w:val="32"/>
          <w:szCs w:val="32"/>
          <w:shd w:val="clear" w:color="auto" w:fill="FFFFFF"/>
          <w:lang w:val="en-US" w:eastAsia="zh-CN"/>
        </w:rPr>
        <w:t>六</w:t>
      </w:r>
      <w:r>
        <w:rPr>
          <w:rStyle w:val="9"/>
          <w:rFonts w:hint="default" w:ascii="Times New Roman" w:hAnsi="Times New Roman" w:eastAsia="楷体_GB2312" w:cs="Times New Roman"/>
          <w:i w:val="0"/>
          <w:iCs w:val="0"/>
          <w:caps w:val="0"/>
          <w:color w:val="auto"/>
          <w:spacing w:val="0"/>
          <w:sz w:val="32"/>
          <w:szCs w:val="32"/>
          <w:shd w:val="clear" w:color="auto" w:fill="FFFFFF"/>
        </w:rPr>
        <w:t>）突出抓党建引领强根基。</w:t>
      </w:r>
      <w:r>
        <w:rPr>
          <w:rFonts w:hint="default" w:ascii="Times New Roman" w:hAnsi="Times New Roman" w:eastAsia="仿宋_GB2312" w:cs="Times New Roman"/>
          <w:b w:val="0"/>
          <w:bCs/>
          <w:color w:val="auto"/>
          <w:sz w:val="32"/>
          <w:szCs w:val="32"/>
          <w:highlight w:val="none"/>
          <w:lang w:val="en-US" w:eastAsia="zh-CN"/>
        </w:rPr>
        <w:t>充分发挥国有企业把方向、管大局、保落实的领导作用，动态优化国有企业党委前置研究讨论重大经营管理事项清单，规范党支部（党总支）集体研究把关企业重大事项，健全企业“三重一大”决策机制，进一步明晰企业党组织、董事会、经理层的权责边界。加快完善法人治理结构，建立国有企业领导人员梯度培养机制，配齐配强市属国有企业领导班子，夯实组织基础。坚持党建工作和国企生产经营业务双融双促，引导市属企业在打造“党建+”品牌上求突破，将党的建设工作与企业项目推进、创新转型、社会责任等工作深度整合，激发典型力量引领企业发展，释放高质量发展的“乘数效应”。</w:t>
      </w: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eastAsia" w:ascii="TimesNewRoman" w:hAnsi="TimesNewRoman" w:eastAsia="黑体" w:cs="TimesNewRoman"/>
          <w:bCs/>
          <w:sz w:val="36"/>
          <w:szCs w:val="36"/>
        </w:rPr>
        <w:t>第二部分</w:t>
      </w:r>
      <w:r>
        <w:rPr>
          <w:rFonts w:hint="default" w:ascii="Times New Roman" w:hAnsi="Times New Roman" w:eastAsia="黑体" w:cs="Times New Roman"/>
          <w:bCs/>
          <w:sz w:val="36"/>
          <w:szCs w:val="36"/>
        </w:rPr>
        <w:t xml:space="preserve"> 2025年</w:t>
      </w:r>
      <w:r>
        <w:rPr>
          <w:rFonts w:hint="default" w:ascii="Times New Roman" w:hAnsi="Times New Roman" w:eastAsia="黑体" w:cs="Times New Roman"/>
          <w:bCs/>
          <w:sz w:val="36"/>
          <w:szCs w:val="36"/>
          <w:lang w:eastAsia="zh-CN"/>
        </w:rPr>
        <w:t>部门</w:t>
      </w:r>
      <w:r>
        <w:rPr>
          <w:rFonts w:hint="default" w:ascii="Times New Roman" w:hAnsi="Times New Roman" w:eastAsia="黑体" w:cs="Times New Roman"/>
          <w:bCs/>
          <w:sz w:val="36"/>
          <w:szCs w:val="36"/>
        </w:rPr>
        <w:t>预算表</w:t>
      </w:r>
    </w:p>
    <w:p>
      <w:pPr>
        <w:pStyle w:val="6"/>
        <w:adjustRightInd w:val="0"/>
        <w:snapToGrid w:val="0"/>
        <w:spacing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r>
        <w:t xml:space="preserve">                                        </w:t>
      </w:r>
    </w:p>
    <w:p>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w:t>
      </w:r>
      <w:r>
        <w:rPr>
          <w:rFonts w:hint="default" w:ascii="Times New Roman" w:hAnsi="Times New Roman" w:eastAsia="黑体" w:cs="Times New Roman"/>
          <w:bCs/>
          <w:sz w:val="36"/>
          <w:szCs w:val="36"/>
        </w:rPr>
        <w:t xml:space="preserve"> 2025年</w:t>
      </w:r>
      <w:r>
        <w:rPr>
          <w:rFonts w:hint="default" w:ascii="Times New Roman" w:hAnsi="Times New Roman" w:eastAsia="黑体" w:cs="Times New Roman"/>
          <w:bCs/>
          <w:sz w:val="36"/>
          <w:szCs w:val="36"/>
          <w:lang w:eastAsia="zh-CN"/>
        </w:rPr>
        <w:t>部门</w:t>
      </w:r>
      <w:r>
        <w:rPr>
          <w:rFonts w:hint="default" w:ascii="Times New Roman" w:hAnsi="Times New Roman" w:eastAsia="黑体" w:cs="Times New Roman"/>
          <w:bCs/>
          <w:sz w:val="36"/>
          <w:szCs w:val="36"/>
        </w:rPr>
        <w:t>预</w:t>
      </w:r>
      <w:r>
        <w:rPr>
          <w:rFonts w:hint="eastAsia" w:ascii="TimesNewRoman" w:hAnsi="TimesNewRoman" w:eastAsia="黑体" w:cs="TimesNewRoman"/>
          <w:bCs/>
          <w:sz w:val="36"/>
          <w:szCs w:val="36"/>
        </w:rPr>
        <w:t>算情况说明</w:t>
      </w:r>
    </w:p>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default" w:ascii="Times New Roman" w:hAnsi="Times New Roman" w:eastAsia="黑体" w:cs="Times New Roman"/>
          <w:bCs/>
          <w:sz w:val="32"/>
          <w:szCs w:val="32"/>
        </w:rPr>
        <w:t>2025年收支</w:t>
      </w:r>
      <w:r>
        <w:rPr>
          <w:rFonts w:hint="eastAsia" w:ascii="TimesNewRoman" w:hAnsi="TimesNewRoman" w:eastAsia="黑体" w:cs="TimesNewRoman"/>
          <w:bCs/>
          <w:sz w:val="32"/>
          <w:szCs w:val="32"/>
        </w:rPr>
        <w:t>总表的说明</w:t>
      </w:r>
    </w:p>
    <w:p>
      <w:pPr>
        <w:pStyle w:val="6"/>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淮北市人民政府国有资产监督管理委员会</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部门</w:t>
      </w:r>
      <w:r>
        <w:rPr>
          <w:rFonts w:hint="eastAsia" w:ascii="TimesNewRoman" w:hAnsi="TimesNewRoman" w:eastAsia="仿宋_GB2312" w:cs="TimesNewRoman"/>
          <w:sz w:val="32"/>
          <w:szCs w:val="32"/>
        </w:rPr>
        <w:t>预算管理。</w:t>
      </w:r>
      <w:r>
        <w:rPr>
          <w:rFonts w:hint="eastAsia" w:ascii="TimesNewRoman" w:hAnsi="TimesNewRoman" w:eastAsia="仿宋_GB2312" w:cs="TimesNewRoman"/>
          <w:sz w:val="32"/>
          <w:szCs w:val="32"/>
          <w:lang w:eastAsia="zh-CN"/>
        </w:rPr>
        <w:t>淮北市人民政府国有资产监督管理委员会</w:t>
      </w:r>
      <w:r>
        <w:rPr>
          <w:rFonts w:hint="default" w:ascii="Times New Roman" w:hAnsi="Times New Roman" w:eastAsia="仿宋_GB2312" w:cs="Times New Roman"/>
          <w:sz w:val="32"/>
          <w:szCs w:val="32"/>
        </w:rPr>
        <w:t>2025年</w:t>
      </w:r>
      <w:r>
        <w:rPr>
          <w:rFonts w:hint="eastAsia" w:ascii="TimesNewRoman" w:hAnsi="TimesNewRoman" w:eastAsia="仿宋_GB2312" w:cs="TimesNewRoman"/>
          <w:sz w:val="32"/>
          <w:szCs w:val="32"/>
        </w:rPr>
        <w:t>收支总预</w:t>
      </w:r>
      <w:r>
        <w:rPr>
          <w:rFonts w:hint="default" w:ascii="Times New Roman" w:hAnsi="Times New Roman" w:eastAsia="仿宋_GB2312" w:cs="Times New Roman"/>
          <w:sz w:val="32"/>
          <w:szCs w:val="32"/>
        </w:rPr>
        <w:t>算323.76</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收入全部是一般公共预算拨款收入</w:t>
      </w:r>
      <w:r>
        <w:rPr>
          <w:rFonts w:hint="default" w:ascii="Times New Roman" w:hAnsi="Times New Roman" w:eastAsia="仿宋_GB2312" w:cs="Times New Roman"/>
          <w:sz w:val="32"/>
          <w:szCs w:val="32"/>
        </w:rPr>
        <w:t>323.76</w:t>
      </w:r>
      <w:r>
        <w:rPr>
          <w:rFonts w:hint="eastAsia" w:ascii="TimesNewRoman" w:hAnsi="TimesNewRoman" w:eastAsia="仿宋_GB2312" w:cs="TimesNewRoman"/>
          <w:sz w:val="32"/>
          <w:szCs w:val="32"/>
          <w:lang w:eastAsia="zh-CN"/>
        </w:rPr>
        <w:t>万元，支出包括：一般公共服务</w:t>
      </w:r>
      <w:r>
        <w:rPr>
          <w:rFonts w:hint="eastAsia" w:ascii="TimesNewRoman" w:hAnsi="TimesNewRoman" w:eastAsia="仿宋_GB2312" w:cs="TimesNewRoman"/>
          <w:sz w:val="32"/>
          <w:szCs w:val="32"/>
        </w:rPr>
        <w:t>支出、社会保障和就业支出、卫生健康支出、住房保障支出。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w:t>
      </w:r>
      <w:r>
        <w:rPr>
          <w:rFonts w:hint="default" w:ascii="Times New Roman" w:hAnsi="Times New Roman" w:eastAsia="黑体" w:cs="Times New Roman"/>
          <w:bCs/>
          <w:sz w:val="32"/>
          <w:szCs w:val="32"/>
        </w:rPr>
        <w:t>于2025年</w:t>
      </w:r>
      <w:r>
        <w:rPr>
          <w:rFonts w:hint="eastAsia" w:ascii="TimesNewRoman" w:hAnsi="TimesNewRoman" w:eastAsia="黑体" w:cs="TimesNewRoman"/>
          <w:bCs/>
          <w:sz w:val="32"/>
          <w:szCs w:val="32"/>
        </w:rPr>
        <w:t>收入总表的说明</w:t>
      </w:r>
    </w:p>
    <w:p>
      <w:pPr>
        <w:ind w:firstLine="640"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lang w:eastAsia="zh-CN"/>
        </w:rPr>
        <w:t>淮北市人民政府国有资产监督管理委员会</w:t>
      </w:r>
      <w:r>
        <w:rPr>
          <w:rFonts w:hint="default" w:ascii="Times New Roman" w:hAnsi="Times New Roman" w:eastAsia="仿宋_GB2312" w:cs="Times New Roman"/>
          <w:kern w:val="0"/>
          <w:sz w:val="32"/>
          <w:szCs w:val="32"/>
        </w:rPr>
        <w:t>2025年收入预算323.76万元，其中，本年收入323.76万元。</w:t>
      </w:r>
    </w:p>
    <w:p>
      <w:pPr>
        <w:ind w:firstLine="643"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b/>
          <w:kern w:val="0"/>
          <w:sz w:val="32"/>
          <w:szCs w:val="32"/>
        </w:rPr>
        <w:t>（一）本年收入</w:t>
      </w:r>
      <w:r>
        <w:rPr>
          <w:rFonts w:hint="default" w:ascii="Times New Roman" w:hAnsi="Times New Roman" w:eastAsia="仿宋_GB2312" w:cs="Times New Roman"/>
          <w:b/>
          <w:bCs/>
          <w:kern w:val="0"/>
          <w:sz w:val="32"/>
          <w:szCs w:val="32"/>
        </w:rPr>
        <w:t>323.76</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主要包括：一般公共预算拨款收入323.76万元，占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%，比2024年预算增加</w:t>
      </w:r>
      <w:r>
        <w:rPr>
          <w:rFonts w:hint="eastAsia" w:ascii="Times New Roman" w:hAnsi="Times New Roman" w:eastAsia="仿宋_GB2312" w:cs="Times New Roman"/>
          <w:kern w:val="0"/>
          <w:sz w:val="32"/>
          <w:szCs w:val="32"/>
        </w:rPr>
        <w:t>154</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8</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rPr>
        <w:t>91.68%</w:t>
      </w:r>
      <w:r>
        <w:rPr>
          <w:rFonts w:hint="default" w:ascii="Times New Roman" w:hAnsi="Times New Roman" w:eastAsia="仿宋_GB2312" w:cs="Times New Roman"/>
          <w:kern w:val="0"/>
          <w:sz w:val="32"/>
          <w:szCs w:val="32"/>
        </w:rPr>
        <w:t>，原因主要是</w:t>
      </w:r>
      <w:r>
        <w:rPr>
          <w:rFonts w:hint="eastAsia" w:ascii="仿宋_GB2312" w:eastAsia="仿宋_GB2312"/>
          <w:sz w:val="32"/>
          <w:szCs w:val="32"/>
        </w:rPr>
        <w:t>上年预算数</w:t>
      </w:r>
      <w:r>
        <w:rPr>
          <w:rFonts w:hint="eastAsia" w:ascii="仿宋_GB2312" w:eastAsia="仿宋_GB2312"/>
          <w:sz w:val="32"/>
          <w:szCs w:val="32"/>
          <w:lang w:val="en-US" w:eastAsia="zh-CN"/>
        </w:rPr>
        <w:t>为单位机构改革后</w:t>
      </w:r>
      <w:r>
        <w:rPr>
          <w:rFonts w:hint="default" w:ascii="Times New Roman" w:hAnsi="Times New Roman" w:eastAsia="仿宋_GB2312" w:cs="Times New Roman"/>
          <w:sz w:val="32"/>
          <w:szCs w:val="32"/>
          <w:lang w:val="en-US" w:eastAsia="zh-CN"/>
        </w:rPr>
        <w:t>7-12</w:t>
      </w:r>
      <w:r>
        <w:rPr>
          <w:rFonts w:hint="eastAsia" w:ascii="仿宋_GB2312" w:eastAsia="仿宋_GB2312"/>
          <w:sz w:val="32"/>
          <w:szCs w:val="32"/>
          <w:lang w:val="en-US" w:eastAsia="zh-CN"/>
        </w:rPr>
        <w:t>月份的数据，本年预算数为整年数据</w:t>
      </w:r>
      <w:r>
        <w:rPr>
          <w:rFonts w:hint="default" w:ascii="Times New Roman" w:hAnsi="Times New Roman" w:eastAsia="仿宋_GB2312" w:cs="Times New Roman"/>
          <w:kern w:val="0"/>
          <w:sz w:val="32"/>
          <w:szCs w:val="32"/>
        </w:rPr>
        <w:t>；政府性基金预算拨款收入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%，比2024年预算增加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%，原因主要是</w:t>
      </w:r>
      <w:r>
        <w:rPr>
          <w:rFonts w:hint="eastAsia" w:ascii="仿宋_GB2312" w:eastAsia="仿宋_GB2312"/>
          <w:sz w:val="32"/>
          <w:szCs w:val="32"/>
        </w:rPr>
        <w:t>本单位无政府性基金预算收入</w:t>
      </w:r>
      <w:r>
        <w:rPr>
          <w:rFonts w:hint="default" w:ascii="Times New Roman" w:hAnsi="Times New Roman" w:eastAsia="仿宋_GB2312" w:cs="Times New Roman"/>
          <w:kern w:val="0"/>
          <w:sz w:val="32"/>
          <w:szCs w:val="32"/>
        </w:rPr>
        <w:t>；财政专户管理资金收入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%，比2024年预算增加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%，原因主要是</w:t>
      </w:r>
      <w:r>
        <w:rPr>
          <w:rFonts w:hint="eastAsia" w:ascii="仿宋_GB2312" w:eastAsia="仿宋_GB2312"/>
          <w:sz w:val="32"/>
          <w:szCs w:val="32"/>
        </w:rPr>
        <w:t>本单位无财政专户管理的非税收入</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default" w:ascii="Times New Roman" w:hAnsi="Times New Roman" w:eastAsia="黑体" w:cs="Times New Roman"/>
          <w:bCs/>
          <w:sz w:val="32"/>
          <w:szCs w:val="32"/>
        </w:rPr>
        <w:t>2025年支出</w:t>
      </w:r>
      <w:r>
        <w:rPr>
          <w:rFonts w:hint="eastAsia" w:ascii="TimesNewRoman" w:hAnsi="TimesNewRoman" w:eastAsia="黑体" w:cs="TimesNewRoman"/>
          <w:bCs/>
          <w:sz w:val="32"/>
          <w:szCs w:val="32"/>
        </w:rPr>
        <w:t>总表的说明</w:t>
      </w:r>
    </w:p>
    <w:p>
      <w:pPr>
        <w:ind w:firstLine="640"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lang w:eastAsia="zh-CN"/>
        </w:rPr>
        <w:t>淮北市人民政府国有资产监督管理委员会</w:t>
      </w:r>
      <w:r>
        <w:rPr>
          <w:rFonts w:hint="default" w:ascii="Times New Roman" w:hAnsi="Times New Roman" w:eastAsia="仿宋_GB2312" w:cs="Times New Roman"/>
          <w:b w:val="0"/>
          <w:bCs w:val="0"/>
          <w:kern w:val="0"/>
          <w:sz w:val="32"/>
          <w:szCs w:val="32"/>
        </w:rPr>
        <w:t>2025年支出预算323.76万元，比2024年预算增加</w:t>
      </w:r>
      <w:r>
        <w:rPr>
          <w:rFonts w:hint="default" w:ascii="Times New Roman" w:hAnsi="Times New Roman" w:eastAsia="仿宋_GB2312" w:cs="Times New Roman"/>
          <w:b w:val="0"/>
          <w:bCs w:val="0"/>
          <w:sz w:val="32"/>
          <w:szCs w:val="32"/>
        </w:rPr>
        <w:t>154</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8</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kern w:val="0"/>
          <w:sz w:val="32"/>
          <w:szCs w:val="32"/>
        </w:rPr>
        <w:t>万元，增长</w:t>
      </w:r>
      <w:r>
        <w:rPr>
          <w:rFonts w:hint="default" w:ascii="Times New Roman" w:hAnsi="Times New Roman" w:eastAsia="仿宋_GB2312" w:cs="Times New Roman"/>
          <w:b w:val="0"/>
          <w:bCs w:val="0"/>
          <w:sz w:val="32"/>
          <w:szCs w:val="32"/>
        </w:rPr>
        <w:t>91.68</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kern w:val="0"/>
          <w:sz w:val="32"/>
          <w:szCs w:val="32"/>
        </w:rPr>
        <w:t>，</w:t>
      </w:r>
      <w:r>
        <w:rPr>
          <w:rFonts w:hint="eastAsia" w:ascii="TimesNewRoman" w:hAnsi="TimesNewRoman" w:eastAsia="仿宋_GB2312" w:cs="TimesNewRoman"/>
          <w:kern w:val="0"/>
          <w:sz w:val="32"/>
          <w:szCs w:val="32"/>
        </w:rPr>
        <w:t>原因主要是</w:t>
      </w:r>
      <w:r>
        <w:rPr>
          <w:rFonts w:hint="eastAsia" w:ascii="仿宋_GB2312" w:eastAsia="仿宋_GB2312"/>
          <w:sz w:val="32"/>
          <w:szCs w:val="32"/>
        </w:rPr>
        <w:t>上年预算数</w:t>
      </w:r>
      <w:r>
        <w:rPr>
          <w:rFonts w:hint="eastAsia" w:ascii="仿宋_GB2312" w:eastAsia="仿宋_GB2312"/>
          <w:sz w:val="32"/>
          <w:szCs w:val="32"/>
          <w:lang w:val="en-US" w:eastAsia="zh-CN"/>
        </w:rPr>
        <w:t>为单位机构改革后</w:t>
      </w:r>
      <w:r>
        <w:rPr>
          <w:rFonts w:hint="default" w:ascii="Times New Roman" w:hAnsi="Times New Roman" w:eastAsia="仿宋_GB2312" w:cs="Times New Roman"/>
          <w:sz w:val="32"/>
          <w:szCs w:val="32"/>
          <w:lang w:val="en-US" w:eastAsia="zh-CN"/>
        </w:rPr>
        <w:t>7-12</w:t>
      </w:r>
      <w:r>
        <w:rPr>
          <w:rFonts w:hint="eastAsia" w:ascii="仿宋_GB2312" w:eastAsia="仿宋_GB2312"/>
          <w:sz w:val="32"/>
          <w:szCs w:val="32"/>
          <w:lang w:val="en-US" w:eastAsia="zh-CN"/>
        </w:rPr>
        <w:t>月份的数据，本年预算数为整年数据</w:t>
      </w:r>
      <w:r>
        <w:rPr>
          <w:rFonts w:hint="eastAsia" w:ascii="TimesNewRoman" w:hAnsi="TimesNewRoman" w:eastAsia="仿宋_GB2312" w:cs="TimesNewRoman"/>
          <w:kern w:val="0"/>
          <w:sz w:val="32"/>
          <w:szCs w:val="32"/>
        </w:rPr>
        <w:t>。其中，基本支出</w:t>
      </w:r>
      <w:r>
        <w:rPr>
          <w:rFonts w:hint="default" w:ascii="Times New Roman" w:hAnsi="Times New Roman" w:eastAsia="仿宋_GB2312" w:cs="Times New Roman"/>
          <w:kern w:val="0"/>
          <w:sz w:val="32"/>
          <w:szCs w:val="32"/>
        </w:rPr>
        <w:t>229.05万元，占70.75%，主要用于保障机构</w:t>
      </w:r>
      <w:r>
        <w:rPr>
          <w:rFonts w:hint="default" w:ascii="Times New Roman" w:hAnsi="Times New Roman" w:eastAsia="仿宋_GB2312" w:cs="Times New Roman"/>
          <w:kern w:val="0"/>
          <w:sz w:val="32"/>
          <w:szCs w:val="32"/>
          <w:highlight w:val="none"/>
        </w:rPr>
        <w:t>日常运转、完成日常工作任务；项目支出94.71万元，占29.25%，主要用于</w:t>
      </w:r>
      <w:r>
        <w:rPr>
          <w:rFonts w:hint="eastAsia" w:ascii="Times New Roman" w:hAnsi="Times New Roman" w:eastAsia="仿宋_GB2312" w:cs="Times New Roman"/>
          <w:kern w:val="0"/>
          <w:sz w:val="32"/>
          <w:szCs w:val="32"/>
          <w:highlight w:val="none"/>
          <w:lang w:eastAsia="zh-CN"/>
        </w:rPr>
        <w:t>国资业务，</w:t>
      </w:r>
      <w:r>
        <w:rPr>
          <w:rFonts w:hint="default" w:ascii="Times New Roman" w:hAnsi="Times New Roman" w:eastAsia="仿宋_GB2312" w:cs="Times New Roman"/>
          <w:kern w:val="0"/>
          <w:sz w:val="32"/>
          <w:szCs w:val="32"/>
          <w:highlight w:val="none"/>
        </w:rPr>
        <w:t>国资系统培训、审计</w:t>
      </w:r>
      <w:r>
        <w:rPr>
          <w:rFonts w:hint="eastAsia" w:ascii="Times New Roman" w:hAnsi="Times New Roman" w:eastAsia="仿宋_GB2312" w:cs="Times New Roman"/>
          <w:kern w:val="0"/>
          <w:sz w:val="32"/>
          <w:szCs w:val="32"/>
          <w:highlight w:val="none"/>
          <w:lang w:eastAsia="zh-CN"/>
        </w:rPr>
        <w:t>，国资国企系统迁移及会议室改造，</w:t>
      </w:r>
      <w:r>
        <w:rPr>
          <w:rFonts w:hint="default" w:ascii="Times New Roman" w:hAnsi="Times New Roman" w:eastAsia="仿宋_GB2312" w:cs="Times New Roman"/>
          <w:kern w:val="0"/>
          <w:sz w:val="32"/>
          <w:szCs w:val="32"/>
          <w:highlight w:val="none"/>
        </w:rPr>
        <w:t>保障</w:t>
      </w:r>
      <w:r>
        <w:rPr>
          <w:rFonts w:hint="eastAsia" w:ascii="Times New Roman" w:hAnsi="Times New Roman" w:eastAsia="仿宋_GB2312" w:cs="Times New Roman"/>
          <w:kern w:val="0"/>
          <w:sz w:val="32"/>
          <w:szCs w:val="32"/>
          <w:highlight w:val="none"/>
          <w:lang w:val="en-US" w:eastAsia="zh-CN"/>
        </w:rPr>
        <w:t>项目实施</w:t>
      </w:r>
      <w:r>
        <w:rPr>
          <w:rFonts w:hint="eastAsia" w:ascii="仿宋_GB2312" w:eastAsia="仿宋_GB2312"/>
          <w:color w:val="333333"/>
          <w:sz w:val="32"/>
          <w:szCs w:val="32"/>
          <w:highlight w:val="none"/>
        </w:rPr>
        <w:t>的组织安排</w:t>
      </w:r>
      <w:r>
        <w:rPr>
          <w:rFonts w:hint="default" w:ascii="Times New Roman" w:hAnsi="Times New Roman" w:eastAsia="仿宋_GB2312" w:cs="Times New Roman"/>
          <w:kern w:val="0"/>
          <w:sz w:val="32"/>
          <w:szCs w:val="32"/>
          <w:highlight w:val="none"/>
        </w:rPr>
        <w:t>。</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w:t>
      </w:r>
      <w:r>
        <w:rPr>
          <w:rFonts w:hint="default" w:ascii="Times New Roman" w:hAnsi="Times New Roman" w:eastAsia="黑体" w:cs="Times New Roman"/>
          <w:bCs/>
          <w:sz w:val="32"/>
          <w:szCs w:val="32"/>
        </w:rPr>
        <w:t>于2025年财</w:t>
      </w:r>
      <w:r>
        <w:rPr>
          <w:rFonts w:hint="eastAsia" w:ascii="TimesNewRoman" w:hAnsi="TimesNewRoman" w:eastAsia="黑体" w:cs="TimesNewRoman"/>
          <w:bCs/>
          <w:sz w:val="32"/>
          <w:szCs w:val="32"/>
        </w:rPr>
        <w:t>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淮北市人民政府国有资产监督管理委员会</w:t>
      </w:r>
      <w:r>
        <w:rPr>
          <w:rFonts w:hint="default" w:ascii="Times New Roman" w:hAnsi="Times New Roman" w:eastAsia="仿宋_GB2312" w:cs="Times New Roman"/>
          <w:kern w:val="0"/>
          <w:sz w:val="32"/>
          <w:szCs w:val="32"/>
        </w:rPr>
        <w:t>2025</w:t>
      </w:r>
      <w:r>
        <w:rPr>
          <w:rFonts w:hint="eastAsia" w:ascii="TimesNewRoman" w:hAnsi="TimesNewRoman" w:eastAsia="仿宋_GB2312" w:cs="TimesNewRoman"/>
          <w:kern w:val="0"/>
          <w:sz w:val="32"/>
          <w:szCs w:val="32"/>
        </w:rPr>
        <w:t>年财政拨款收支预算</w:t>
      </w:r>
      <w:r>
        <w:rPr>
          <w:rFonts w:hint="default" w:ascii="Times New Roman" w:hAnsi="Times New Roman" w:eastAsia="仿宋_GB2312" w:cs="Times New Roman"/>
          <w:sz w:val="32"/>
          <w:szCs w:val="32"/>
        </w:rPr>
        <w:t>323.76</w:t>
      </w:r>
      <w:r>
        <w:rPr>
          <w:rFonts w:hint="eastAsia" w:ascii="TimesNewRoman" w:hAnsi="TimesNewRoman" w:eastAsia="仿宋_GB2312" w:cs="TimesNewRoman"/>
          <w:kern w:val="0"/>
          <w:sz w:val="32"/>
          <w:szCs w:val="32"/>
        </w:rPr>
        <w:t>万元。收入按资金来源分为：一般公共预算拨款</w:t>
      </w:r>
      <w:r>
        <w:rPr>
          <w:rFonts w:hint="default" w:ascii="Times New Roman" w:hAnsi="Times New Roman" w:eastAsia="仿宋_GB2312" w:cs="Times New Roman"/>
          <w:sz w:val="32"/>
          <w:szCs w:val="32"/>
        </w:rPr>
        <w:t>323.76</w:t>
      </w:r>
      <w:r>
        <w:rPr>
          <w:rFonts w:hint="eastAsia" w:ascii="TimesNewRoman" w:hAnsi="TimesNewRoman" w:eastAsia="仿宋_GB2312" w:cs="TimesNew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w:t>
      </w:r>
      <w:r>
        <w:rPr>
          <w:rFonts w:hint="eastAsia" w:ascii="TimesNewRoman" w:hAnsi="TimesNewRoman" w:eastAsia="仿宋_GB2312" w:cs="TimesNewRoman"/>
          <w:kern w:val="0"/>
          <w:sz w:val="32"/>
          <w:szCs w:val="32"/>
        </w:rPr>
        <w:t>元；按资金年度分为：本年财政拨款收入</w:t>
      </w:r>
      <w:r>
        <w:rPr>
          <w:rFonts w:hint="default" w:ascii="Times New Roman" w:hAnsi="Times New Roman" w:eastAsia="仿宋_GB2312" w:cs="Times New Roman"/>
          <w:sz w:val="32"/>
          <w:szCs w:val="32"/>
        </w:rPr>
        <w:t>323.76</w:t>
      </w:r>
      <w:r>
        <w:rPr>
          <w:rFonts w:hint="eastAsia" w:ascii="TimesNewRoman" w:hAnsi="TimesNewRoman" w:eastAsia="仿宋_GB2312" w:cs="TimesNewRoman"/>
          <w:kern w:val="0"/>
          <w:sz w:val="32"/>
          <w:szCs w:val="32"/>
        </w:rPr>
        <w:t>万元。支出按功能分类分为：一般公共服务支出</w:t>
      </w:r>
      <w:r>
        <w:rPr>
          <w:rFonts w:hint="default" w:ascii="Times New Roman" w:hAnsi="Times New Roman" w:eastAsia="仿宋_GB2312" w:cs="Times New Roman"/>
          <w:kern w:val="0"/>
          <w:sz w:val="32"/>
          <w:szCs w:val="32"/>
        </w:rPr>
        <w:t>254.57万元，占78.63%；社会保障和就业支出31.15万元，占9.62%；卫生健康支出9.31万元，占2.87%；住房保障支出28.74万元，占8.88%</w:t>
      </w:r>
      <w:r>
        <w:rPr>
          <w:rFonts w:hint="eastAsia" w:ascii="TimesNewRoman" w:hAnsi="TimesNewRoman" w:eastAsia="仿宋_GB2312" w:cs="TimesNewRoman"/>
          <w:kern w:val="0"/>
          <w:sz w:val="32"/>
          <w:szCs w:val="32"/>
        </w:rPr>
        <w:t>。</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default" w:ascii="Times New Roman" w:hAnsi="Times New Roman" w:eastAsia="黑体" w:cs="Times New Roman"/>
          <w:bCs/>
          <w:sz w:val="32"/>
          <w:szCs w:val="32"/>
        </w:rPr>
        <w:t>2025年一</w:t>
      </w:r>
      <w:r>
        <w:rPr>
          <w:rFonts w:hint="eastAsia" w:ascii="TimesNewRoman" w:hAnsi="TimesNewRoman" w:eastAsia="黑体" w:cs="TimesNewRoman"/>
          <w:bCs/>
          <w:sz w:val="32"/>
          <w:szCs w:val="32"/>
        </w:rPr>
        <w:t>般公共预算支出表的说明</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淮北市人民政府国有资产监督管理委</w:t>
      </w:r>
      <w:r>
        <w:rPr>
          <w:rFonts w:hint="default" w:ascii="Times New Roman" w:hAnsi="Times New Roman" w:eastAsia="仿宋_GB2312" w:cs="Times New Roman"/>
          <w:kern w:val="0"/>
          <w:sz w:val="32"/>
          <w:szCs w:val="32"/>
          <w:lang w:eastAsia="zh-CN"/>
        </w:rPr>
        <w:t>员会</w:t>
      </w:r>
      <w:r>
        <w:rPr>
          <w:rFonts w:hint="default" w:ascii="Times New Roman" w:hAnsi="Times New Roman" w:eastAsia="仿宋_GB2312" w:cs="Times New Roman"/>
          <w:kern w:val="0"/>
          <w:sz w:val="32"/>
          <w:szCs w:val="32"/>
        </w:rPr>
        <w:t>2025年一般公共预算支出</w:t>
      </w:r>
      <w:r>
        <w:rPr>
          <w:rFonts w:hint="default" w:ascii="Times New Roman" w:hAnsi="Times New Roman" w:eastAsia="仿宋_GB2312" w:cs="Times New Roman"/>
          <w:sz w:val="32"/>
          <w:szCs w:val="32"/>
        </w:rPr>
        <w:t>323.76</w:t>
      </w:r>
      <w:r>
        <w:rPr>
          <w:rFonts w:hint="default" w:ascii="Times New Roman" w:hAnsi="Times New Roman" w:eastAsia="仿宋_GB2312" w:cs="Times New Roman"/>
          <w:kern w:val="0"/>
          <w:sz w:val="32"/>
          <w:szCs w:val="32"/>
        </w:rPr>
        <w:t>万元，比2024年预算增加154</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万元，增长91.68%，主要原因</w:t>
      </w:r>
      <w:r>
        <w:rPr>
          <w:rFonts w:hint="default" w:ascii="Times New Roman" w:hAnsi="Times New Roman" w:eastAsia="仿宋_GB2312" w:cs="Times New Roman"/>
          <w:kern w:val="0"/>
          <w:sz w:val="32"/>
          <w:szCs w:val="32"/>
          <w:lang w:val="en-US" w:eastAsia="zh-CN"/>
        </w:rPr>
        <w:t>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w:t>
      </w:r>
      <w:r>
        <w:rPr>
          <w:rFonts w:hint="eastAsia" w:ascii="仿宋_GB2312" w:eastAsia="仿宋_GB2312"/>
          <w:sz w:val="32"/>
          <w:szCs w:val="32"/>
          <w:lang w:val="en-US" w:eastAsia="zh-CN"/>
        </w:rPr>
        <w:t>月份的数据，本年预算数为整年数据</w:t>
      </w:r>
      <w:r>
        <w:rPr>
          <w:rFonts w:hint="eastAsia" w:ascii="TimesNewRoman" w:hAnsi="TimesNewRoman" w:eastAsia="仿宋_GB2312" w:cs="TimesNewRoman"/>
          <w:kern w:val="0"/>
          <w:sz w:val="32"/>
          <w:szCs w:val="32"/>
        </w:rPr>
        <w:t>。</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default" w:ascii="Times New Roman" w:hAnsi="Times New Roman" w:eastAsia="仿宋_GB2312" w:cs="Times New Roman"/>
          <w:kern w:val="0"/>
          <w:sz w:val="32"/>
          <w:szCs w:val="32"/>
        </w:rPr>
        <w:t>254.57万元，占78.63%</w:t>
      </w: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社会保障和就业支出31.15万元，占9.62%；卫生健康支出9.31万元，占2.87%；住房保障支出28.74万元，占8.88%</w:t>
      </w:r>
      <w:r>
        <w:rPr>
          <w:rFonts w:hint="eastAsia" w:ascii="TimesNewRoman" w:hAnsi="TimesNewRoman" w:eastAsia="仿宋_GB2312" w:cs="TimesNewRoman"/>
          <w:kern w:val="0"/>
          <w:sz w:val="32"/>
          <w:szCs w:val="32"/>
        </w:rPr>
        <w:t>。</w:t>
      </w:r>
    </w:p>
    <w:p>
      <w:pPr>
        <w:pStyle w:val="6"/>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1、一般公共服务支出（类）政府办公厅（室）及相关机构事务（款）行政运行（项）2025年预算127.29万元，比2024年预算增加67.33万元，增长112.27%，原因主要是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、一般公共服务支出（类）政府办公厅（室）及相关机构事务（款）事业运行（项）2025年预算32.57万元，比2024年预算增加28.97万元，增长804.63%，原因主要是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pStyle w:val="3"/>
        <w:ind w:firstLine="640" w:firstLineChars="200"/>
        <w:rPr>
          <w:rFonts w:hint="default"/>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、一般公共服务支出（类）政府办公厅（室）及相关机构事务（款）其他政府办公厅（室）及相关机构事务支出（项）2025年预算94.71万元，比2024年预算增加21.21万元，增长28.86%，原因主要是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、社会保障和就业支出（类）行政事业单位养老支出（款）机关事业单位基本养老保险缴费支出（项）2025年预算20.57万元，比2024年预算增加12.66万元，增长160.28%，原因主要是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、社会保障和就业支出（类）行政事业单位养老支出（款）机关事业单位职业年金缴费支出（项）2025年预算10.28万元，比2024年预算增加6.33万元，增长160.28%，原因主要是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、社会保障和就业支出（类）其他社会保障和就业支出（款）其他社会保障和就业支出（项）2025年预算0.30万元，比2024年预算增加0.14万元，增长93.86%，原因主要是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、卫生健康支出（类）行政事业单位医疗（款）行政单位医疗（项）2025年预算6.57万元，比2024年预算增加3.63万元，增长123.56%，原因主要是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、卫生健康支出（类）行政事业单位医疗（款）公务员医疗补助（项）2025年预算2.74万元，比2024年预算增加1.69万元，增长160.82%，原因主要是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、住房保障支出（类）住房改革支出（款）住房公积金（项）2025年预算17.24万元，比2024年预算增加9.06万元，增长110.59%，原因主要是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、住房保障支出（类）住房改革支出（款）提租补贴（项）2025年预算4.31万元，比2024年预算增加3.07万元，增长246.60%，原因主要是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、住房保障支出（类）住房改革支出（款）购房补贴（项）2025年预算7.18万元，比2024年预算增加3.77万元，增长110.57%，原因主要是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default" w:ascii="Times New Roman" w:hAnsi="Times New Roman" w:eastAsia="黑体" w:cs="Times New Roman"/>
          <w:bCs/>
          <w:sz w:val="32"/>
          <w:szCs w:val="32"/>
        </w:rPr>
        <w:t>2025年一</w:t>
      </w:r>
      <w:r>
        <w:rPr>
          <w:rFonts w:hint="eastAsia" w:ascii="TimesNewRoman" w:hAnsi="TimesNewRoman" w:eastAsia="黑体" w:cs="TimesNewRoman"/>
          <w:bCs/>
          <w:sz w:val="32"/>
          <w:szCs w:val="32"/>
        </w:rPr>
        <w:t>般公共预算基本支出表的说明</w:t>
      </w:r>
    </w:p>
    <w:p>
      <w:pPr>
        <w:ind w:firstLine="640"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lang w:eastAsia="zh-CN"/>
        </w:rPr>
        <w:t>淮北市人民政府国有资产监督管理委员会</w:t>
      </w:r>
      <w:r>
        <w:rPr>
          <w:rFonts w:hint="default" w:ascii="Times New Roman" w:hAnsi="Times New Roman" w:eastAsia="仿宋_GB2312" w:cs="Times New Roman"/>
          <w:kern w:val="0"/>
          <w:sz w:val="32"/>
          <w:szCs w:val="32"/>
        </w:rPr>
        <w:t>2025年一般公共预算基本支出229.05万元，其中，人员经费203.13万元，公用经费25.92万元。</w:t>
      </w:r>
    </w:p>
    <w:p>
      <w:pPr>
        <w:numPr>
          <w:ilvl w:val="0"/>
          <w:numId w:val="1"/>
        </w:num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人员经费</w:t>
      </w:r>
      <w:r>
        <w:rPr>
          <w:rFonts w:hint="default" w:ascii="Times New Roman" w:hAnsi="Times New Roman" w:eastAsia="仿宋_GB2312" w:cs="Times New Roman"/>
          <w:b/>
          <w:kern w:val="0"/>
          <w:sz w:val="32"/>
          <w:szCs w:val="32"/>
        </w:rPr>
        <w:t>203.13万</w:t>
      </w:r>
      <w:r>
        <w:rPr>
          <w:rFonts w:hint="eastAsia" w:ascii="TimesNewRoman" w:hAnsi="TimesNewRoman" w:eastAsia="仿宋_GB2312" w:cs="TimesNewRoman"/>
          <w:b/>
          <w:kern w:val="0"/>
          <w:sz w:val="32"/>
          <w:szCs w:val="32"/>
        </w:rPr>
        <w:t>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主要包括:基本工资、津贴补贴、奖金、绩效工资、机关事业单位基本养老保险费、职业年金缴费、职工基本医疗保险缴费、公务员医疗补助缴费、其他社会保障缴费、住房公积金、办公费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工会经费、福利费、其他对个人和家庭的补助支出。</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default" w:ascii="Times New Roman" w:hAnsi="Times New Roman" w:eastAsia="仿宋_GB2312" w:cs="Times New Roman"/>
          <w:b/>
          <w:kern w:val="0"/>
          <w:sz w:val="32"/>
          <w:szCs w:val="32"/>
        </w:rPr>
        <w:t>25.92万</w:t>
      </w:r>
      <w:r>
        <w:rPr>
          <w:rFonts w:hint="eastAsia" w:ascii="TimesNewRoman" w:hAnsi="TimesNewRoman" w:eastAsia="仿宋_GB2312" w:cs="TimesNewRoman"/>
          <w:b/>
          <w:kern w:val="0"/>
          <w:sz w:val="32"/>
          <w:szCs w:val="32"/>
        </w:rPr>
        <w:t>元，</w:t>
      </w:r>
      <w:r>
        <w:rPr>
          <w:rFonts w:hint="eastAsia" w:ascii="TimesNewRoman" w:hAnsi="TimesNewRoman" w:eastAsia="仿宋_GB2312" w:cs="TimesNewRoman"/>
          <w:kern w:val="0"/>
          <w:sz w:val="32"/>
          <w:szCs w:val="32"/>
        </w:rPr>
        <w:t>主要包括：办公费</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其他交通费用、其他商品服务支出。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default" w:ascii="Times New Roman" w:hAnsi="Times New Roman" w:eastAsia="黑体" w:cs="Times New Roman"/>
          <w:bCs/>
          <w:sz w:val="32"/>
          <w:szCs w:val="32"/>
        </w:rPr>
        <w:t>2025年政府</w:t>
      </w:r>
      <w:r>
        <w:rPr>
          <w:rFonts w:hint="eastAsia" w:ascii="TimesNewRoman" w:hAnsi="TimesNewRoman" w:eastAsia="黑体" w:cs="TimesNewRoman"/>
          <w:bCs/>
          <w:sz w:val="32"/>
          <w:szCs w:val="32"/>
        </w:rPr>
        <w:t>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淮北市人民政府国有资产监督管理委</w:t>
      </w:r>
      <w:r>
        <w:rPr>
          <w:rFonts w:hint="default" w:ascii="Times New Roman" w:hAnsi="Times New Roman" w:eastAsia="仿宋_GB2312" w:cs="Times New Roman"/>
          <w:kern w:val="0"/>
          <w:sz w:val="32"/>
          <w:szCs w:val="32"/>
          <w:lang w:eastAsia="zh-CN"/>
        </w:rPr>
        <w:t>员会</w:t>
      </w:r>
      <w:r>
        <w:rPr>
          <w:rFonts w:hint="default" w:ascii="Times New Roman" w:hAnsi="Times New Roman" w:eastAsia="仿宋_GB2312" w:cs="Times New Roman"/>
          <w:kern w:val="0"/>
          <w:sz w:val="32"/>
          <w:szCs w:val="32"/>
        </w:rPr>
        <w:t>2025年</w:t>
      </w:r>
      <w:r>
        <w:rPr>
          <w:rFonts w:hint="eastAsia" w:ascii="TimesNewRoman" w:hAnsi="TimesNewRoman" w:eastAsia="仿宋_GB2312" w:cs="TimesNewRoman"/>
          <w:kern w:val="0"/>
          <w:sz w:val="32"/>
          <w:szCs w:val="32"/>
        </w:rPr>
        <w:t>没有政府性基金预算拨款收入，也没有使用政府性基金预算拨款安排的支出。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default" w:ascii="Times New Roman" w:hAnsi="Times New Roman" w:eastAsia="黑体" w:cs="Times New Roman"/>
          <w:bCs/>
          <w:sz w:val="32"/>
          <w:szCs w:val="32"/>
        </w:rPr>
        <w:t>2025年</w:t>
      </w:r>
      <w:r>
        <w:rPr>
          <w:rFonts w:hint="eastAsia" w:ascii="TimesNewRoman" w:hAnsi="TimesNewRoman" w:eastAsia="黑体" w:cs="TimesNewRoman"/>
          <w:bCs/>
          <w:sz w:val="32"/>
          <w:szCs w:val="32"/>
        </w:rPr>
        <w:t>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淮北市人民政府国有资产监督管理委员会</w:t>
      </w:r>
      <w:r>
        <w:rPr>
          <w:rFonts w:hint="default" w:ascii="Times New Roman" w:hAnsi="Times New Roman" w:eastAsia="仿宋_GB2312" w:cs="Times New Roman"/>
          <w:kern w:val="0"/>
          <w:sz w:val="32"/>
          <w:szCs w:val="32"/>
        </w:rPr>
        <w:t>2025年没有国有资本经营预算拨款收入，也没有使用国有资本经营预</w:t>
      </w:r>
      <w:r>
        <w:rPr>
          <w:rFonts w:hint="eastAsia" w:ascii="TimesNewRoman" w:hAnsi="TimesNewRoman" w:eastAsia="仿宋_GB2312" w:cs="TimesNewRoman"/>
          <w:kern w:val="0"/>
          <w:sz w:val="32"/>
          <w:szCs w:val="32"/>
        </w:rPr>
        <w:t>算拨款安排的支出。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default" w:ascii="Times New Roman" w:hAnsi="Times New Roman" w:eastAsia="黑体" w:cs="Times New Roman"/>
          <w:bCs/>
          <w:sz w:val="32"/>
          <w:szCs w:val="32"/>
        </w:rPr>
        <w:t>2025年项</w:t>
      </w:r>
      <w:r>
        <w:rPr>
          <w:rFonts w:hint="eastAsia" w:ascii="TimesNewRoman" w:hAnsi="TimesNewRoman" w:eastAsia="黑体" w:cs="TimesNewRoman"/>
          <w:bCs/>
          <w:sz w:val="32"/>
          <w:szCs w:val="32"/>
        </w:rPr>
        <w:t>目支出表的说明</w:t>
      </w:r>
    </w:p>
    <w:p>
      <w:pPr>
        <w:ind w:firstLine="640"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lang w:eastAsia="zh-CN"/>
        </w:rPr>
        <w:t>淮北市人民政府国有资产监督管理委员</w:t>
      </w:r>
      <w:r>
        <w:rPr>
          <w:rFonts w:hint="default" w:ascii="Times New Roman" w:hAnsi="Times New Roman" w:eastAsia="仿宋_GB2312" w:cs="Times New Roman"/>
          <w:kern w:val="0"/>
          <w:sz w:val="32"/>
          <w:szCs w:val="32"/>
          <w:lang w:eastAsia="zh-CN"/>
        </w:rPr>
        <w:t>会</w:t>
      </w:r>
      <w:r>
        <w:rPr>
          <w:rFonts w:hint="default" w:ascii="Times New Roman" w:hAnsi="Times New Roman" w:eastAsia="仿宋_GB2312" w:cs="Times New Roman"/>
          <w:kern w:val="0"/>
          <w:sz w:val="32"/>
          <w:szCs w:val="32"/>
        </w:rPr>
        <w:t>2025年预算共安排项目支出94.71万元，比2024年预算增加</w:t>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21</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sz w:val="32"/>
          <w:szCs w:val="32"/>
        </w:rPr>
        <w:t>23.80%</w:t>
      </w:r>
      <w:r>
        <w:rPr>
          <w:rFonts w:hint="default" w:ascii="Times New Roman" w:hAnsi="Times New Roman" w:eastAsia="仿宋_GB2312" w:cs="Times New Roman"/>
          <w:kern w:val="0"/>
          <w:sz w:val="32"/>
          <w:szCs w:val="32"/>
        </w:rPr>
        <w:t>，</w:t>
      </w:r>
      <w:r>
        <w:rPr>
          <w:rFonts w:hint="eastAsia" w:ascii="TimesNewRoman" w:hAnsi="TimesNewRoman" w:eastAsia="仿宋_GB2312" w:cs="TimesNewRoman"/>
          <w:kern w:val="0"/>
          <w:sz w:val="32"/>
          <w:szCs w:val="32"/>
        </w:rPr>
        <w:t>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eastAsia" w:ascii="TimesNewRoman" w:hAnsi="TimesNewRoman" w:eastAsia="仿宋_GB2312" w:cs="TimesNewRoman"/>
          <w:kern w:val="0"/>
          <w:sz w:val="32"/>
          <w:szCs w:val="32"/>
        </w:rPr>
        <w:t>。主要包括：本年财政拨款安排</w:t>
      </w:r>
      <w:r>
        <w:rPr>
          <w:rFonts w:hint="default" w:ascii="Times New Roman" w:hAnsi="Times New Roman" w:eastAsia="仿宋_GB2312" w:cs="Times New Roman"/>
          <w:kern w:val="0"/>
          <w:sz w:val="32"/>
          <w:szCs w:val="32"/>
        </w:rPr>
        <w:t>94.71</w:t>
      </w:r>
      <w:r>
        <w:rPr>
          <w:rFonts w:hint="eastAsia" w:ascii="TimesNewRoman" w:hAnsi="TimesNewRoman" w:eastAsia="仿宋_GB2312" w:cs="TimesNewRoman"/>
          <w:kern w:val="0"/>
          <w:sz w:val="32"/>
          <w:szCs w:val="32"/>
        </w:rPr>
        <w:t>万元（其中，一般公共预算拨款安排</w:t>
      </w:r>
      <w:r>
        <w:rPr>
          <w:rFonts w:hint="default" w:ascii="Times New Roman" w:hAnsi="Times New Roman" w:eastAsia="仿宋_GB2312" w:cs="Times New Roman"/>
          <w:kern w:val="0"/>
          <w:sz w:val="32"/>
          <w:szCs w:val="32"/>
        </w:rPr>
        <w:t>94.71</w:t>
      </w:r>
      <w:r>
        <w:rPr>
          <w:rFonts w:hint="eastAsia" w:ascii="TimesNewRoman" w:hAnsi="TimesNewRoman" w:eastAsia="仿宋_GB2312" w:cs="TimesNewRoman"/>
          <w:kern w:val="0"/>
          <w:sz w:val="32"/>
          <w:szCs w:val="32"/>
        </w:rPr>
        <w:t>万元，政府性基金预算</w:t>
      </w:r>
      <w:r>
        <w:rPr>
          <w:rFonts w:hint="default" w:ascii="Times New Roman" w:hAnsi="Times New Roman" w:eastAsia="仿宋_GB2312" w:cs="Times New Roman"/>
          <w:kern w:val="0"/>
          <w:sz w:val="32"/>
          <w:szCs w:val="32"/>
        </w:rPr>
        <w:t>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default" w:ascii="Times New Roman" w:hAnsi="Times New Roman" w:eastAsia="黑体" w:cs="Times New Roman"/>
          <w:bCs/>
          <w:sz w:val="32"/>
          <w:szCs w:val="32"/>
        </w:rPr>
        <w:t>2025年政</w:t>
      </w:r>
      <w:r>
        <w:rPr>
          <w:rFonts w:hint="eastAsia" w:ascii="TimesNewRoman" w:hAnsi="TimesNewRoman" w:eastAsia="黑体" w:cs="TimesNewRoman"/>
          <w:bCs/>
          <w:sz w:val="32"/>
          <w:szCs w:val="32"/>
        </w:rPr>
        <w:t>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淮北市人民政府国有资产监督管理委员会</w:t>
      </w:r>
      <w:r>
        <w:rPr>
          <w:rFonts w:hint="default" w:ascii="Times New Roman" w:hAnsi="Times New Roman" w:eastAsia="仿宋_GB2312" w:cs="Times New Roman"/>
          <w:kern w:val="0"/>
          <w:sz w:val="32"/>
          <w:szCs w:val="32"/>
        </w:rPr>
        <w:t>2025</w:t>
      </w:r>
      <w:r>
        <w:rPr>
          <w:rFonts w:hint="eastAsia" w:ascii="TimesNewRoman" w:hAnsi="TimesNewRoman" w:eastAsia="仿宋_GB2312" w:cs="TimesNewRoman"/>
          <w:kern w:val="0"/>
          <w:sz w:val="32"/>
          <w:szCs w:val="32"/>
        </w:rPr>
        <w:t>年没有使用一般公共预算拨款、政府性基金预算拨款、国有资本经营预算拨款、财政专户管理资金和单位资金安排的政府采购支出。</w:t>
      </w:r>
    </w:p>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w:t>
      </w:r>
      <w:r>
        <w:rPr>
          <w:rFonts w:hint="default" w:ascii="Times New Roman" w:hAnsi="Times New Roman" w:eastAsia="黑体" w:cs="Times New Roman"/>
          <w:bCs/>
          <w:sz w:val="32"/>
          <w:szCs w:val="32"/>
        </w:rPr>
        <w:t>于2025年政府</w:t>
      </w:r>
      <w:r>
        <w:rPr>
          <w:rFonts w:hint="eastAsia" w:ascii="TimesNewRoman" w:hAnsi="TimesNewRoman" w:eastAsia="黑体" w:cs="TimesNewRoman"/>
          <w:bCs/>
          <w:sz w:val="32"/>
          <w:szCs w:val="32"/>
        </w:rPr>
        <w:t>购买服务支出表的说明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淮北市人民政府国有资产监督管理委</w:t>
      </w:r>
      <w:r>
        <w:rPr>
          <w:rFonts w:hint="default" w:ascii="Times New Roman" w:hAnsi="Times New Roman" w:eastAsia="仿宋_GB2312" w:cs="Times New Roman"/>
          <w:kern w:val="0"/>
          <w:sz w:val="32"/>
          <w:szCs w:val="32"/>
          <w:lang w:eastAsia="zh-CN"/>
        </w:rPr>
        <w:t>员会</w:t>
      </w:r>
      <w:r>
        <w:rPr>
          <w:rFonts w:hint="default" w:ascii="Times New Roman" w:hAnsi="Times New Roman" w:eastAsia="仿宋_GB2312" w:cs="Times New Roman"/>
          <w:kern w:val="0"/>
          <w:sz w:val="32"/>
          <w:szCs w:val="32"/>
        </w:rPr>
        <w:t>2025年没</w:t>
      </w:r>
      <w:r>
        <w:rPr>
          <w:rFonts w:hint="eastAsia" w:ascii="TimesNewRoman" w:hAnsi="TimesNewRoman" w:eastAsia="仿宋_GB2312" w:cs="TimesNewRoman"/>
          <w:kern w:val="0"/>
          <w:sz w:val="32"/>
          <w:szCs w:val="32"/>
        </w:rPr>
        <w:t>有安排政府购买服务支出。</w:t>
      </w:r>
    </w:p>
    <w:p>
      <w:pPr>
        <w:pStyle w:val="6"/>
        <w:adjustRightInd w:val="0"/>
        <w:snapToGrid w:val="0"/>
        <w:spacing w:line="560" w:lineRule="exact"/>
        <w:ind w:firstLine="640" w:firstLineChars="200"/>
        <w:rPr>
          <w:rFonts w:ascii="TimesNewRoman" w:hAnsi="TimesNewRoman" w:eastAsia="黑体" w:cs="TimesNewRoman"/>
          <w:sz w:val="32"/>
          <w:szCs w:val="32"/>
          <w:highlight w:val="none"/>
        </w:rPr>
      </w:pPr>
      <w:bookmarkStart w:id="0" w:name="_GoBack"/>
      <w:r>
        <w:rPr>
          <w:rFonts w:ascii="TimesNewRoman" w:hAnsi="TimesNewRoman" w:eastAsia="黑体" w:cs="TimesNewRoman"/>
          <w:sz w:val="32"/>
          <w:szCs w:val="32"/>
          <w:highlight w:val="none"/>
        </w:rPr>
        <w:t>十</w:t>
      </w:r>
      <w:r>
        <w:rPr>
          <w:rFonts w:hint="eastAsia" w:ascii="TimesNewRoman" w:hAnsi="TimesNewRoman" w:eastAsia="黑体" w:cs="TimesNewRoman"/>
          <w:sz w:val="32"/>
          <w:szCs w:val="32"/>
          <w:highlight w:val="none"/>
        </w:rPr>
        <w:t>二</w:t>
      </w:r>
      <w:r>
        <w:rPr>
          <w:rFonts w:ascii="TimesNewRoman" w:hAnsi="TimesNewRoman" w:eastAsia="黑体" w:cs="TimesNewRoman"/>
          <w:sz w:val="32"/>
          <w:szCs w:val="32"/>
          <w:highlight w:val="none"/>
        </w:rPr>
        <w:t>、关于</w:t>
      </w:r>
      <w:r>
        <w:rPr>
          <w:rFonts w:hint="eastAsia" w:ascii="Times New Roman" w:hAnsi="Times New Roman" w:eastAsia="黑体" w:cs="Times New Roman"/>
          <w:bCs/>
          <w:sz w:val="32"/>
          <w:szCs w:val="32"/>
          <w:highlight w:val="none"/>
        </w:rPr>
        <w:t>2025</w:t>
      </w:r>
      <w:r>
        <w:rPr>
          <w:rFonts w:ascii="TimesNewRoman" w:hAnsi="TimesNewRoman" w:eastAsia="黑体" w:cs="TimesNewRoman"/>
          <w:sz w:val="32"/>
          <w:szCs w:val="32"/>
          <w:highlight w:val="none"/>
        </w:rPr>
        <w:t>年通用资产配置支出表的说明</w:t>
      </w:r>
    </w:p>
    <w:p>
      <w:pPr>
        <w:pStyle w:val="6"/>
        <w:adjustRightInd w:val="0"/>
        <w:snapToGrid w:val="0"/>
        <w:spacing w:line="560" w:lineRule="exact"/>
        <w:ind w:firstLine="640" w:firstLineChars="200"/>
        <w:outlineLvl w:val="0"/>
        <w:rPr>
          <w:rFonts w:ascii="TimesNewRoman" w:hAnsi="TimesNewRoman" w:eastAsia="仿宋_GB2312" w:cs="TimesNewRoman"/>
          <w:sz w:val="32"/>
          <w:szCs w:val="32"/>
          <w:highlight w:val="none"/>
        </w:rPr>
      </w:pPr>
      <w:r>
        <w:rPr>
          <w:rFonts w:hint="eastAsia" w:ascii="TimesNewRoman" w:hAnsi="TimesNewRoman" w:eastAsia="仿宋_GB2312" w:cs="TimesNewRoman"/>
          <w:kern w:val="0"/>
          <w:sz w:val="32"/>
          <w:szCs w:val="32"/>
          <w:highlight w:val="none"/>
          <w:lang w:eastAsia="zh-CN"/>
        </w:rPr>
        <w:t>淮北市人民政府国有资产监督管理委</w:t>
      </w:r>
      <w:r>
        <w:rPr>
          <w:rFonts w:hint="default" w:ascii="Times New Roman" w:hAnsi="Times New Roman" w:eastAsia="仿宋_GB2312" w:cs="Times New Roman"/>
          <w:kern w:val="0"/>
          <w:sz w:val="32"/>
          <w:szCs w:val="32"/>
          <w:highlight w:val="none"/>
          <w:lang w:eastAsia="zh-CN"/>
        </w:rPr>
        <w:t>员会</w:t>
      </w:r>
      <w:r>
        <w:rPr>
          <w:rFonts w:hint="eastAsia" w:ascii="Times New Roman" w:hAnsi="Times New Roman" w:eastAsia="仿宋_GB2312" w:cs="Times New Roman"/>
          <w:kern w:val="0"/>
          <w:sz w:val="32"/>
          <w:szCs w:val="32"/>
          <w:highlight w:val="none"/>
          <w:lang w:val="en-US" w:eastAsia="zh-CN" w:bidi="ar-SA"/>
        </w:rPr>
        <w:t>2025</w:t>
      </w:r>
      <w:r>
        <w:rPr>
          <w:rFonts w:ascii="TimesNewRoman" w:hAnsi="TimesNewRoman" w:eastAsia="仿宋_GB2312" w:cs="TimesNewRoman"/>
          <w:sz w:val="32"/>
          <w:szCs w:val="32"/>
          <w:highlight w:val="none"/>
        </w:rPr>
        <w:t>年没有安排通用资产配置支出。</w:t>
      </w:r>
    </w:p>
    <w:bookmarkEnd w:id="0"/>
    <w:p>
      <w:pPr>
        <w:pStyle w:val="6"/>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国资系统培训、审计费用”项目。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按照考核要求，对企业目标完成情况进行专项审计出具审计报告，为薪酬考核提供准确数据基础；企业负责人薪酬兑现情况审计，确保企业负责人薪酬及时、合规兑现；审计企业工资总额预算执行情况，了解企业是否存在违规发放工资、滥发工资等情况。推动企业加强合规管理体系建设，提升依法合规经营管理水平，切实防控风险，保障企业持续健康发展；司库建设更好地提升国有企业资金管理精益化、集约化和智能化水平；加强基金监督管理，强化基金内部控制，提升基金运营水平。聚焦服务国资国企发展改革监管党建工作大局，系统开展国企党建、政策解读、履职能力、实践对标等培训，持续深化党的创新理论武装，强化政治训练，加强履职能力培训，全面提升国资国企干部人才理论素养和治企兴企本领能力。</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淮北市市属企业负责人经营业绩考核与新酬管理暂行办法》、《淮北市市属国有企业合规管理办法》《关于市属国有企业司库体系建设的指导意见》淮审企〔2024〕37号《淮北市审计局关于淮北市产业投资基金管理使用情况专项审计调查结果的报告》、《全国党员教育培训规划2024-2028》《淮北市国有企业改革深化提升行动实施方案(2023—2025年)》</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（3）实施主体。淮北市人民政府国有资产监督管理委员会</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年1月至20</w:t>
      </w:r>
      <w:r>
        <w:rPr>
          <w:rFonts w:hint="eastAsia" w:ascii="Times New Roman" w:hAnsi="Times New Roman" w:eastAsia="仿宋_GB2312" w:cs="Times New Roman"/>
          <w:kern w:val="0"/>
          <w:sz w:val="32"/>
          <w:szCs w:val="32"/>
          <w:lang w:val="en-US" w:eastAsia="zh-CN"/>
        </w:rPr>
        <w:t>25</w:t>
      </w:r>
      <w:r>
        <w:rPr>
          <w:rFonts w:hint="eastAsia" w:ascii="Times New Roman" w:hAnsi="Times New Roman" w:eastAsia="仿宋_GB2312" w:cs="Times New Roman"/>
          <w:kern w:val="0"/>
          <w:sz w:val="32"/>
          <w:szCs w:val="32"/>
        </w:rPr>
        <w:t>年12月</w:t>
      </w:r>
    </w:p>
    <w:p>
      <w:pPr>
        <w:pStyle w:val="2"/>
        <w:rPr>
          <w:rFonts w:hint="eastAsia" w:ascii="Times New Roman" w:hAnsi="仿宋_GB2312" w:eastAsia="仿宋_GB2312" w:cs="方正仿宋_GBK"/>
          <w:bCs/>
          <w:color w:val="000000"/>
          <w:sz w:val="32"/>
          <w:szCs w:val="20"/>
          <w:lang w:val="en-US" w:eastAsia="zh-CN"/>
        </w:rPr>
      </w:pPr>
      <w:r>
        <w:rPr>
          <w:rFonts w:hint="default" w:ascii="Times New Roman" w:hAnsi="Times New Roman" w:eastAsia="仿宋_GB2312" w:cs="Times New Roman"/>
          <w:kern w:val="0"/>
          <w:sz w:val="32"/>
          <w:szCs w:val="32"/>
        </w:rPr>
        <w:t>（5）项目内容。</w:t>
      </w:r>
      <w:r>
        <w:rPr>
          <w:rFonts w:hint="eastAsia" w:ascii="Times New Roman" w:hAnsi="仿宋_GB2312" w:eastAsia="仿宋_GB2312" w:cs="方正仿宋_GBK"/>
          <w:bCs/>
          <w:color w:val="000000"/>
          <w:sz w:val="32"/>
          <w:szCs w:val="20"/>
          <w:lang w:val="en-US" w:eastAsia="zh-CN"/>
        </w:rPr>
        <w:t>入党积极分子和发展对象培训班；基层党组织书记暨党务工作者培训班；市属企业干部综合素质提升专题培训班；合规、基金运作管理、司库建设运营等培训；企业年度及任期经营业绩指标审计；企业工资总额预算执行情况审计；企业负责人薪酬兑现情况专项审计。</w:t>
      </w:r>
    </w:p>
    <w:p>
      <w:pPr>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（6）年度预算安排。28.71</w:t>
      </w:r>
      <w:r>
        <w:rPr>
          <w:rFonts w:hint="eastAsia" w:ascii="Times New Roman" w:hAnsi="Times New Roman" w:eastAsia="仿宋_GB2312" w:cs="Times New Roman"/>
          <w:kern w:val="0"/>
          <w:sz w:val="32"/>
          <w:szCs w:val="32"/>
          <w:lang w:val="en-US" w:eastAsia="zh-CN"/>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坚持激励与约束并重，市属企业负责人薪酬执行“基本年薪+绩效年薪+任期激励收入”工资结构，引导企业长远发展。推动企业加强合规管理、司库等体系建设，提高企业管理水平。提升推动淮北市市属国有企业高质量发展本领、服务群众本领、防范化解风险本领，培养造就政治过硬、适应新时代要求、具备领导社会主义现代化建设能力的高素质专业化国有企业领导人员队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46"/>
        <w:gridCol w:w="152"/>
        <w:gridCol w:w="531"/>
        <w:gridCol w:w="4079"/>
        <w:gridCol w:w="1094"/>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53" w:type="dxa"/>
            <w:gridSpan w:val="7"/>
            <w:tcBorders>
              <w:top w:val="nil"/>
              <w:left w:val="nil"/>
              <w:bottom w:val="nil"/>
              <w:right w:val="nil"/>
            </w:tcBorders>
            <w:vAlign w:val="center"/>
          </w:tcPr>
          <w:p>
            <w:pPr>
              <w:keepNext w:val="0"/>
              <w:keepLines w:val="0"/>
              <w:widowControl/>
              <w:suppressLineNumbers w:val="0"/>
              <w:jc w:val="center"/>
              <w:textAlignment w:val="center"/>
              <w:rPr>
                <w:rFonts w:ascii="宋体" w:cs="宋体"/>
                <w:b/>
                <w:bCs/>
                <w:szCs w:val="32"/>
              </w:rPr>
            </w:pPr>
            <w:r>
              <w:rPr>
                <w:rFonts w:hint="eastAsia" w:ascii="宋体" w:hAnsi="宋体" w:eastAsia="宋体" w:cs="宋体"/>
                <w:i w:val="0"/>
                <w:iCs w:val="0"/>
                <w:color w:val="000000"/>
                <w:kern w:val="0"/>
                <w:sz w:val="40"/>
                <w:szCs w:val="40"/>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53" w:type="dxa"/>
            <w:gridSpan w:val="7"/>
            <w:tcBorders>
              <w:top w:val="nil"/>
              <w:left w:val="nil"/>
              <w:right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60"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项目名称</w:t>
            </w:r>
          </w:p>
        </w:tc>
        <w:tc>
          <w:tcPr>
            <w:tcW w:w="7793" w:type="dxa"/>
            <w:gridSpan w:val="4"/>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国资系统培训、审计费用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60"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4610"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淮北市人民政府国有资产监督管理委员会</w:t>
            </w:r>
          </w:p>
        </w:tc>
        <w:tc>
          <w:tcPr>
            <w:tcW w:w="1094"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2089" w:type="dxa"/>
            <w:tcBorders>
              <w:tl2br w:val="nil"/>
              <w:tr2bl w:val="nil"/>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淮北市人民政府国有资产监督管理委员会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60" w:type="dxa"/>
            <w:gridSpan w:val="3"/>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项目来源</w:t>
            </w:r>
          </w:p>
        </w:tc>
        <w:tc>
          <w:tcPr>
            <w:tcW w:w="4610"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本级申报项目</w:t>
            </w:r>
          </w:p>
        </w:tc>
        <w:tc>
          <w:tcPr>
            <w:tcW w:w="1094" w:type="dxa"/>
            <w:tcBorders>
              <w:tl2br w:val="nil"/>
              <w:tr2bl w:val="nil"/>
            </w:tcBorders>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项目期</w:t>
            </w:r>
          </w:p>
        </w:tc>
        <w:tc>
          <w:tcPr>
            <w:tcW w:w="2089" w:type="dxa"/>
            <w:tcBorders>
              <w:tl2br w:val="nil"/>
              <w:tr2bl w:val="nil"/>
            </w:tcBorders>
            <w:vAlign w:val="center"/>
          </w:tcPr>
          <w:p>
            <w:pPr>
              <w:keepNext w:val="0"/>
              <w:keepLines w:val="0"/>
              <w:widowControl/>
              <w:suppressLineNumbers w:val="0"/>
              <w:jc w:val="center"/>
              <w:textAlignment w:val="center"/>
            </w:pPr>
            <w:r>
              <w:rPr>
                <w:rFonts w:hint="default" w:ascii="Calibri" w:hAnsi="Calibri" w:eastAsia="宋体" w:cs="Calibri"/>
                <w:i w:val="0"/>
                <w:iCs w:val="0"/>
                <w:color w:val="000000"/>
                <w:kern w:val="0"/>
                <w:sz w:val="21"/>
                <w:szCs w:val="21"/>
                <w:u w:val="none"/>
                <w:lang w:val="en-US" w:eastAsia="zh-CN" w:bidi="ar"/>
              </w:rPr>
              <w:t>2025.1.1-2025.12.31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60" w:type="dxa"/>
            <w:gridSpan w:val="3"/>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项目资金（万元）</w:t>
            </w:r>
          </w:p>
        </w:tc>
        <w:tc>
          <w:tcPr>
            <w:tcW w:w="4610"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60" w:type="dxa"/>
            <w:gridSpan w:val="3"/>
            <w:vMerge w:val="continue"/>
            <w:tcBorders>
              <w:tl2br w:val="nil"/>
              <w:tr2bl w:val="nil"/>
            </w:tcBorders>
            <w:vAlign w:val="center"/>
          </w:tcPr>
          <w:p>
            <w:pPr>
              <w:jc w:val="center"/>
              <w:rPr>
                <w:rFonts w:ascii="宋体" w:cs="宋体"/>
                <w:sz w:val="20"/>
              </w:rPr>
            </w:pPr>
          </w:p>
        </w:tc>
        <w:tc>
          <w:tcPr>
            <w:tcW w:w="4610"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60" w:type="dxa"/>
            <w:gridSpan w:val="3"/>
            <w:vMerge w:val="continue"/>
            <w:tcBorders>
              <w:tl2br w:val="nil"/>
              <w:tr2bl w:val="nil"/>
            </w:tcBorders>
            <w:vAlign w:val="center"/>
          </w:tcPr>
          <w:p>
            <w:pPr>
              <w:jc w:val="center"/>
              <w:rPr>
                <w:rFonts w:ascii="宋体" w:cs="宋体"/>
                <w:sz w:val="20"/>
              </w:rPr>
            </w:pPr>
          </w:p>
        </w:tc>
        <w:tc>
          <w:tcPr>
            <w:tcW w:w="4610"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3183"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60" w:type="dxa"/>
            <w:gridSpan w:val="3"/>
            <w:vMerge w:val="continue"/>
            <w:tcBorders>
              <w:tl2br w:val="nil"/>
              <w:tr2bl w:val="nil"/>
            </w:tcBorders>
            <w:vAlign w:val="center"/>
          </w:tcPr>
          <w:p>
            <w:pPr>
              <w:jc w:val="center"/>
              <w:rPr>
                <w:rFonts w:ascii="宋体" w:cs="宋体"/>
                <w:sz w:val="20"/>
              </w:rPr>
            </w:pPr>
          </w:p>
        </w:tc>
        <w:tc>
          <w:tcPr>
            <w:tcW w:w="4610" w:type="dxa"/>
            <w:gridSpan w:val="2"/>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183"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62"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年度目标</w:t>
            </w:r>
          </w:p>
        </w:tc>
        <w:tc>
          <w:tcPr>
            <w:tcW w:w="8691" w:type="dxa"/>
            <w:gridSpan w:val="6"/>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服务经济发展、依法维护侨益、拓展海外联谊、积极参政议政、弘扬中华文化、参与社会建设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62"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绩效指标</w:t>
            </w:r>
          </w:p>
        </w:tc>
        <w:tc>
          <w:tcPr>
            <w:tcW w:w="746"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一级指标</w:t>
            </w:r>
          </w:p>
        </w:tc>
        <w:tc>
          <w:tcPr>
            <w:tcW w:w="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二级指标</w:t>
            </w:r>
          </w:p>
        </w:tc>
        <w:tc>
          <w:tcPr>
            <w:tcW w:w="4079" w:type="dxa"/>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三级指标</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产出指标</w:t>
            </w:r>
          </w:p>
        </w:tc>
        <w:tc>
          <w:tcPr>
            <w:tcW w:w="683" w:type="dxa"/>
            <w:gridSpan w:val="2"/>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数量指标</w:t>
            </w: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指标1：出具6家市属企业，每家企业3类专项审计报告</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指标2：开展培训</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指标3：组织不少于3期，合计为期9天，200人的培训</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质量指标</w:t>
            </w: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指标1：按照考核要求，对企业目标完成情况进行专项审计出具审计报告，为薪酬考核提供准确数据基础</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指标2：邀请相关领域专家，高质量开展合规管理、司库体系建设、基金运作及管理等相关培训</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3：聚焦国企党建工作、深化国企改革、公司治理与风险防范等内容，开展国有企业干部能力提升、党务工作者等专题培训，不断提升国资国企干部队伍的整体素质和能力水平，扎实推动国资国企高质量发展。</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指标1：按计划完成考核相关工作</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成本指标</w:t>
            </w: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指标1：项目成本</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≤28.71万元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效益指标</w:t>
            </w:r>
          </w:p>
        </w:tc>
        <w:tc>
          <w:tcPr>
            <w:tcW w:w="683" w:type="dxa"/>
            <w:gridSpan w:val="2"/>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指标1：围绕价值提升，推动国资国企高质量发展，实现国有资产保值增值</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指标2：推动国有企业真正按市场化机制运营，更好实现经济属性、政治属性、社会属性的有机统一</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指标3：深化国有企业改革，加快实现公司治理体系和治理能力现代化，提升企业领导干部综合管理能力，促进企业高质量发展。</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restart"/>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社会效益指标</w:t>
            </w: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指标1：发挥市属企业在建设现代化产业体系、构建新发展格局中的科技创新、产业控制、安全支撑作用</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指标2：为加快建设“五宜”幸福城市贡献更大力量</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指标3：进一步提升淮北市市属国有企业领导人员政治素养和经营管理、科学决策以及市场化运营等方面能力水平，助力全市经济社会发展。</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生态效益指标</w:t>
            </w:r>
          </w:p>
        </w:tc>
        <w:tc>
          <w:tcPr>
            <w:tcW w:w="4079" w:type="dxa"/>
            <w:tcBorders>
              <w:tl2br w:val="nil"/>
              <w:tr2bl w:val="nil"/>
            </w:tcBorders>
            <w:vAlign w:val="center"/>
          </w:tcPr>
          <w:p>
            <w:pPr>
              <w:keepNext w:val="0"/>
              <w:keepLines w:val="0"/>
              <w:widowControl/>
              <w:suppressLineNumbers w:val="0"/>
              <w:jc w:val="left"/>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i w:val="0"/>
                <w:iCs w:val="0"/>
                <w:color w:val="000000"/>
                <w:kern w:val="0"/>
                <w:sz w:val="20"/>
                <w:szCs w:val="20"/>
                <w:u w:val="none"/>
                <w:lang w:val="en-US" w:eastAsia="zh-CN" w:bidi="ar"/>
              </w:rPr>
              <w:t>指标1：不适用</w:t>
            </w:r>
          </w:p>
        </w:tc>
        <w:tc>
          <w:tcPr>
            <w:tcW w:w="3183" w:type="dxa"/>
            <w:gridSpan w:val="2"/>
            <w:tcBorders>
              <w:tl2br w:val="nil"/>
              <w:tr2bl w:val="nil"/>
            </w:tcBorders>
            <w:vAlign w:val="center"/>
          </w:tcPr>
          <w:p>
            <w:pPr>
              <w:keepNext w:val="0"/>
              <w:keepLines w:val="0"/>
              <w:widowControl/>
              <w:suppressLineNumbers w:val="0"/>
              <w:jc w:val="center"/>
              <w:textAlignment w:val="center"/>
              <w:rPr>
                <w:rFonts w:ascii="汉仪中秀体简" w:hAnsi="汉仪中秀体简" w:eastAsia="汉仪中秀体简" w:cs="汉仪中秀体简"/>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restart"/>
            <w:tcBorders>
              <w:tl2br w:val="nil"/>
              <w:tr2bl w:val="nil"/>
            </w:tcBorders>
            <w:vAlign w:val="center"/>
          </w:tcPr>
          <w:p>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可持续影响指标</w:t>
            </w:r>
          </w:p>
        </w:tc>
        <w:tc>
          <w:tcPr>
            <w:tcW w:w="4079" w:type="dxa"/>
            <w:tcBorders>
              <w:tl2br w:val="nil"/>
              <w:tr2bl w:val="nil"/>
            </w:tcBorders>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指标1：健全市场化机制，激发企业发展内生动力</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hAnsi="宋体" w:eastAsia="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指标2：保障企业持续健康发展</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vMerge w:val="continue"/>
            <w:tcBorders>
              <w:tl2br w:val="nil"/>
              <w:tr2bl w:val="nil"/>
            </w:tcBorders>
            <w:vAlign w:val="center"/>
          </w:tcPr>
          <w:p>
            <w:pPr>
              <w:jc w:val="center"/>
              <w:rPr>
                <w:rFonts w:ascii="宋体" w:cs="宋体"/>
                <w:sz w:val="20"/>
              </w:rPr>
            </w:pPr>
          </w:p>
        </w:tc>
        <w:tc>
          <w:tcPr>
            <w:tcW w:w="683" w:type="dxa"/>
            <w:gridSpan w:val="2"/>
            <w:vMerge w:val="continue"/>
            <w:tcBorders>
              <w:tl2br w:val="nil"/>
              <w:tr2bl w:val="nil"/>
            </w:tcBorders>
            <w:vAlign w:val="center"/>
          </w:tcPr>
          <w:p>
            <w:pPr>
              <w:jc w:val="center"/>
              <w:rPr>
                <w:rFonts w:ascii="宋体" w:hAnsi="宋体" w:eastAsia="宋体" w:cs="宋体"/>
                <w:sz w:val="20"/>
              </w:rPr>
            </w:pPr>
          </w:p>
        </w:tc>
        <w:tc>
          <w:tcPr>
            <w:tcW w:w="4079" w:type="dxa"/>
            <w:tcBorders>
              <w:tl2br w:val="nil"/>
              <w:tr2bl w:val="nil"/>
            </w:tcBorders>
            <w:vAlign w:val="center"/>
          </w:tcPr>
          <w:p>
            <w:pPr>
              <w:keepNext w:val="0"/>
              <w:keepLines w:val="0"/>
              <w:widowControl/>
              <w:suppressLineNumbers w:val="0"/>
              <w:jc w:val="lef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指标3：以建设政治过硬、适应新时代要求、具备领导现代化建设能力的干部队伍为目标，进一步加强理论教育、党性教育、专业化能力培养。</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2" w:type="dxa"/>
            <w:vMerge w:val="continue"/>
            <w:tcBorders>
              <w:tl2br w:val="nil"/>
              <w:tr2bl w:val="nil"/>
            </w:tcBorders>
            <w:vAlign w:val="center"/>
          </w:tcPr>
          <w:p>
            <w:pPr>
              <w:jc w:val="center"/>
              <w:rPr>
                <w:rFonts w:ascii="宋体" w:cs="宋体"/>
                <w:sz w:val="20"/>
              </w:rPr>
            </w:pPr>
          </w:p>
        </w:tc>
        <w:tc>
          <w:tcPr>
            <w:tcW w:w="746" w:type="dxa"/>
            <w:tcBorders>
              <w:tl2br w:val="nil"/>
              <w:tr2bl w:val="nil"/>
            </w:tcBorders>
            <w:vAlign w:val="center"/>
          </w:tcPr>
          <w:p>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683" w:type="dxa"/>
            <w:gridSpan w:val="2"/>
            <w:tcBorders>
              <w:tl2br w:val="nil"/>
              <w:tr2bl w:val="nil"/>
            </w:tcBorders>
            <w:vAlign w:val="center"/>
          </w:tcPr>
          <w:p>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满意度指标</w:t>
            </w:r>
          </w:p>
        </w:tc>
        <w:tc>
          <w:tcPr>
            <w:tcW w:w="4079" w:type="dxa"/>
            <w:tcBorders>
              <w:tl2br w:val="nil"/>
              <w:tr2bl w:val="nil"/>
            </w:tcBorders>
            <w:vAlign w:val="center"/>
          </w:tcPr>
          <w:p>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指标1：服务对象满意度</w:t>
            </w:r>
          </w:p>
        </w:tc>
        <w:tc>
          <w:tcPr>
            <w:tcW w:w="3183" w:type="dxa"/>
            <w:gridSpan w:val="2"/>
            <w:tcBorders>
              <w:tl2br w:val="nil"/>
              <w:tr2bl w:val="nil"/>
            </w:tcBorders>
            <w:vAlign w:val="center"/>
          </w:tcPr>
          <w:p>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满意</w:t>
            </w:r>
          </w:p>
        </w:tc>
      </w:tr>
    </w:tbl>
    <w:p>
      <w:pPr>
        <w:ind w:firstLine="420" w:firstLineChars="200"/>
      </w:pPr>
    </w:p>
    <w:p>
      <w:pPr>
        <w:ind w:firstLine="420" w:firstLineChars="200"/>
      </w:pP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2、“国资业务经费”项目。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坚持以习近平新时代中国特色社会主义思想为指导，全面落实党中央、国务院关于深入实施国有企业改革深化提升行动的部署要求，认真落实市委、市政府决策部署。以坚持和加强党对国有企业的全面领导为总原则，以积极服务国家、省、市重大战略为总要求，以增强国有企业核心功能和提高核心竞争力为工作重点，以深入推进国企改革深化提升行动为抓手，扎实做好各项重点工作，推动国资国企高质量发展，在推进中国式现代化建设中谱写国资国企新篇章。</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（2）立项依据。坚持党建统领，持续深化改革、优化布局、做强主业、强化监管，坚定不移做强做优做大国有资本和国有企业，增强核心功能，提升核心竞争力，保障国有企业服务全市战略功能。</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（3）实施主体。淮北市人民政府国有资产监督管理委员会</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年1月至20</w:t>
      </w:r>
      <w:r>
        <w:rPr>
          <w:rFonts w:hint="eastAsia" w:ascii="Times New Roman" w:hAnsi="Times New Roman" w:eastAsia="仿宋_GB2312" w:cs="Times New Roman"/>
          <w:kern w:val="0"/>
          <w:sz w:val="32"/>
          <w:szCs w:val="32"/>
          <w:lang w:val="en-US" w:eastAsia="zh-CN"/>
        </w:rPr>
        <w:t>25</w:t>
      </w:r>
      <w:r>
        <w:rPr>
          <w:rFonts w:hint="eastAsia" w:ascii="Times New Roman" w:hAnsi="Times New Roman" w:eastAsia="仿宋_GB2312" w:cs="Times New Roman"/>
          <w:kern w:val="0"/>
          <w:sz w:val="32"/>
          <w:szCs w:val="32"/>
        </w:rPr>
        <w:t>年12月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eastAsia" w:ascii="Times New Roman" w:hAnsi="仿宋_GB2312" w:eastAsia="仿宋_GB2312" w:cs="方正仿宋_GBK"/>
          <w:bCs/>
          <w:color w:val="000000"/>
          <w:sz w:val="32"/>
          <w:szCs w:val="20"/>
          <w:lang w:val="en-US" w:eastAsia="zh-CN"/>
        </w:rPr>
        <w:t>政务公开、网站运维、空调、净水机等维护费3万元；办公用品、报刊杂志等办公费8万元；电信，邮寄文件等8万元；印刷费5.5万元；差旅费8万元；会议费2万元；文书档案整理、代理记账等委托业务费3万元；公务接待费3.5万元；花卉租赁0.5万元；保洁服务1.5万元；法治宣传、上市宣传、央企合作对接等其他商品服务支出7万元。</w:t>
      </w:r>
    </w:p>
    <w:p>
      <w:pPr>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（6）年度预算安排。50</w:t>
      </w:r>
      <w:r>
        <w:rPr>
          <w:rFonts w:hint="eastAsia" w:ascii="Times New Roman" w:hAnsi="Times New Roman" w:eastAsia="仿宋_GB2312" w:cs="Times New Roman"/>
          <w:kern w:val="0"/>
          <w:sz w:val="32"/>
          <w:szCs w:val="32"/>
          <w:lang w:val="en-US" w:eastAsia="zh-CN"/>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（7）绩效目标。进一步增强国有企业服务全市战略功能作用，推动国有资本布局结构更优配置、国有企业按市场化机制运营取得一定成效。</w:t>
      </w:r>
    </w:p>
    <w:tbl>
      <w:tblPr>
        <w:tblStyle w:val="7"/>
        <w:tblW w:w="9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640"/>
        <w:gridCol w:w="390"/>
        <w:gridCol w:w="610"/>
        <w:gridCol w:w="3736"/>
        <w:gridCol w:w="1089"/>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1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51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国资业务经费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淮北市人民政府国有资产监督管理委员会</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淮北市人民政府国有资产监督管理委员会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本级申报项目</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2025.1.1-2025.12.31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进一步增强国有企业服务全市战略功能作用，推动国有资本布局结构更优配置、国有企业按市场化机制运营取得一定成效。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指标1：保障国资业务工作支出，全力助推重点项目谋划建设。</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指标1：业务工作高质量完成，妥善处理“三供一业”遗留问题。</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指标1：保质保量完成各项工作，完善现代企业治理体系。</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指标1：项目成本</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指标1：打造选育管用建强企业人才队伍，深化国有企业改革，以提高国有企业核心竞争力和增强核心功能。</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指标1：聚焦“两个维护”加强党的政治建设，建立国有经济对公共服务补短板机制，强化企业投资担保监督管理。</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指标1：做强做优做大国有资本和国有企业，指导市属企业加强安全生产工作，坚持严的氛围强化正风肃纪反腐。</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指标1：持续增强国有企业服务全市战略功能作用，深度融合夯实基层党建基础，深化企业资产盘活重组，实现国有资本布局结构更优配置，推动国有企业真正按市场化机制运营。</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指标1：构建智慧国资监管体系，实现实时穿透、智慧监管，形成统一、高效、安全、智能的服务体系，实现更加全面、高效的服务和监管。</w:t>
            </w:r>
          </w:p>
        </w:tc>
        <w:tc>
          <w:tcPr>
            <w:tcW w:w="3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bl>
    <w:p>
      <w:pPr>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、“国资国企系统迁移及会议室改造”项目。</w:t>
      </w:r>
    </w:p>
    <w:p>
      <w:pPr>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项目概述。全省国资电视电话会议系统需要省国资委来淮安装，有两台加密机，需要邀请省国资委安排人员现场开展迁移工作；市国资委为新成立单位，无网络基础设施和国资内网，迁移的同时要进行相应的建设，视频会议室必须要按照省国资委的相关文件规定标准建设</w:t>
      </w:r>
      <w:r>
        <w:rPr>
          <w:rFonts w:hint="eastAsia"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（2）立项依据。《安徽国资数字化智能化监管体系建设工作方案》《2021年全省性国资国企在线监管系统建设方案》((2021)64号)</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（3）实施主体。淮北市人民政府国有资产监督管理委员会</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（4）起止时间。</w:t>
      </w: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年1月至20</w:t>
      </w:r>
      <w:r>
        <w:rPr>
          <w:rFonts w:hint="eastAsia" w:ascii="Times New Roman" w:hAnsi="Times New Roman" w:eastAsia="仿宋_GB2312" w:cs="Times New Roman"/>
          <w:kern w:val="0"/>
          <w:sz w:val="32"/>
          <w:szCs w:val="32"/>
          <w:lang w:val="en-US" w:eastAsia="zh-CN"/>
        </w:rPr>
        <w:t>25</w:t>
      </w:r>
      <w:r>
        <w:rPr>
          <w:rFonts w:hint="eastAsia" w:ascii="Times New Roman" w:hAnsi="Times New Roman" w:eastAsia="仿宋_GB2312" w:cs="Times New Roman"/>
          <w:kern w:val="0"/>
          <w:sz w:val="32"/>
          <w:szCs w:val="32"/>
        </w:rPr>
        <w:t>年12月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eastAsia" w:ascii="Times New Roman" w:hAnsi="仿宋_GB2312" w:eastAsia="仿宋_GB2312" w:cs="方正仿宋_GBK"/>
          <w:bCs/>
          <w:color w:val="000000"/>
          <w:sz w:val="32"/>
          <w:szCs w:val="20"/>
          <w:lang w:val="en-US" w:eastAsia="zh-CN"/>
        </w:rPr>
        <w:t>国资国企监管系统（一期）、全省国资电视电话会议系统迁移，网络基础设施及内网建设、电视电话会议室改造。</w:t>
      </w:r>
    </w:p>
    <w:p>
      <w:pPr>
        <w:ind w:firstLine="640" w:firstLineChars="200"/>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（6）年度预算安排。16</w:t>
      </w:r>
      <w:r>
        <w:rPr>
          <w:rFonts w:hint="eastAsia" w:ascii="Times New Roman" w:hAnsi="Times New Roman" w:eastAsia="仿宋_GB2312" w:cs="Times New Roman"/>
          <w:kern w:val="0"/>
          <w:sz w:val="32"/>
          <w:szCs w:val="32"/>
          <w:lang w:val="en-US" w:eastAsia="zh-CN"/>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（7）绩效目标。建成网络基础设施和国资内网</w:t>
      </w:r>
    </w:p>
    <w:tbl>
      <w:tblPr>
        <w:tblStyle w:val="7"/>
        <w:tblW w:w="973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640"/>
        <w:gridCol w:w="390"/>
        <w:gridCol w:w="610"/>
        <w:gridCol w:w="3858"/>
        <w:gridCol w:w="1155"/>
        <w:gridCol w:w="2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73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73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（2025年度）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国资国企系统迁移及会议室改造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4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淮北市人民政府国有资产监督管理委员会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淮北市人民政府国有资产监督管理委员会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4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本级申报项目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2025.1.1-2025.12.31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4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0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7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建成网络基础设施和国资内网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指标1：完成国资国企监管系统（一期）、全省国资电视电话会议系统迁移</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指标1：按照网络基础设施和国资内网建设要求，完成迁移及改造</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指标1：2024年开始启动，预计2025年尽快完成迁移及改造</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指标1：项目成本</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指标1：日常监管需要、满足全市国资会议需要</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指标1：更好地发挥市国资委对国有资产监督管理工作的全面领导职责</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指标1：不适用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指标1：持续增强国有企业服务全市战略功能作用，深度融合夯实基层党建基础，深化企业资产盘活重组，实现国有资本布局结构更优配置，推动国有企业真正按市场化机制运营。</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指标1：构建智慧国资监管体系，实现实时穿透、智慧监管，形成统一、高效、安全、智能的服务体系，实现更加全面、高效的服务和监管。</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bl>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lang w:eastAsia="zh-CN"/>
        </w:rPr>
        <w:t>淮北市人民政府国有资产监督管理</w:t>
      </w:r>
      <w:r>
        <w:rPr>
          <w:rFonts w:hint="default" w:ascii="Times New Roman" w:hAnsi="Times New Roman" w:eastAsia="仿宋_GB2312" w:cs="Times New Roman"/>
          <w:kern w:val="0"/>
          <w:sz w:val="32"/>
          <w:szCs w:val="32"/>
          <w:lang w:eastAsia="zh-CN"/>
        </w:rPr>
        <w:t>委员会</w:t>
      </w:r>
      <w:r>
        <w:rPr>
          <w:rFonts w:hint="default" w:ascii="Times New Roman" w:hAnsi="Times New Roman" w:eastAsia="仿宋_GB2312" w:cs="Times New Roman"/>
          <w:kern w:val="0"/>
          <w:sz w:val="32"/>
          <w:szCs w:val="32"/>
        </w:rPr>
        <w:t>2025年机关运行经费财政拨款预算25.92万元，比2024年预算增加</w:t>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sz w:val="32"/>
          <w:szCs w:val="32"/>
        </w:rPr>
        <w:t>155.27%</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sz w:val="32"/>
          <w:szCs w:val="32"/>
        </w:rPr>
        <w:t>上年预算数</w:t>
      </w:r>
      <w:r>
        <w:rPr>
          <w:rFonts w:hint="default" w:ascii="Times New Roman" w:hAnsi="Times New Roman" w:eastAsia="仿宋_GB2312" w:cs="Times New Roman"/>
          <w:sz w:val="32"/>
          <w:szCs w:val="32"/>
          <w:lang w:val="en-US" w:eastAsia="zh-CN"/>
        </w:rPr>
        <w:t>为单位机构改革后7-12月份的数据，本年预算数为整年数据</w:t>
      </w:r>
      <w:r>
        <w:rPr>
          <w:rFonts w:hint="default" w:ascii="Times New Roman" w:hAnsi="Times New Roman" w:eastAsia="仿宋_GB2312" w:cs="Times New Roman"/>
          <w:kern w:val="0"/>
          <w:sz w:val="32"/>
          <w:szCs w:val="32"/>
        </w:rPr>
        <w:t>。</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lang w:eastAsia="zh-CN"/>
        </w:rPr>
        <w:t>淮北市人民政府国有资产监督管理委员会</w:t>
      </w:r>
      <w:r>
        <w:rPr>
          <w:rFonts w:hint="default" w:ascii="Times New Roman" w:hAnsi="Times New Roman" w:eastAsia="仿宋_GB2312" w:cs="Times New Roman"/>
          <w:kern w:val="0"/>
          <w:sz w:val="32"/>
          <w:szCs w:val="32"/>
        </w:rPr>
        <w:t>2025年政府采购预算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万元。其中：政府采购货物预算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万元，政府采购工程预算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万元，政府采购服务预算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hint="default" w:ascii="Times New Roman" w:hAnsi="Times New Roman" w:eastAsia="仿宋_GB2312" w:cs="Times New Roman"/>
          <w:kern w:val="0"/>
          <w:sz w:val="32"/>
          <w:szCs w:val="32"/>
        </w:rPr>
      </w:pPr>
      <w:r>
        <w:rPr>
          <w:rFonts w:hint="eastAsia" w:ascii="TimesNewRoman" w:hAnsi="TimesNewRoman" w:eastAsia="仿宋_GB2312" w:cs="TimesNewRoman"/>
          <w:kern w:val="0"/>
          <w:sz w:val="32"/>
          <w:szCs w:val="32"/>
        </w:rPr>
        <w:t>截至</w:t>
      </w:r>
      <w:r>
        <w:rPr>
          <w:rFonts w:hint="default" w:ascii="Times New Roman" w:hAnsi="Times New Roman" w:eastAsia="仿宋_GB2312" w:cs="Times New Roman"/>
          <w:kern w:val="0"/>
          <w:sz w:val="32"/>
          <w:szCs w:val="32"/>
        </w:rPr>
        <w:t>2024年12月31日，</w:t>
      </w:r>
      <w:r>
        <w:rPr>
          <w:rFonts w:hint="default" w:ascii="Times New Roman" w:hAnsi="Times New Roman" w:eastAsia="仿宋_GB2312" w:cs="Times New Roman"/>
          <w:kern w:val="0"/>
          <w:sz w:val="32"/>
          <w:szCs w:val="32"/>
          <w:lang w:eastAsia="zh-CN"/>
        </w:rPr>
        <w:t>淮北市人民政府国有资产监督管理委员会</w:t>
      </w:r>
      <w:r>
        <w:rPr>
          <w:rFonts w:hint="default" w:ascii="Times New Roman" w:hAnsi="Times New Roman" w:eastAsia="仿宋_GB2312" w:cs="Times New Roman"/>
          <w:kern w:val="0"/>
          <w:sz w:val="32"/>
          <w:szCs w:val="32"/>
        </w:rPr>
        <w:t>共有车辆</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highlight w:val="none"/>
        </w:rPr>
        <w:t>单价50万元以上的通用设备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台（套），单价100万元以上的专用设备</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台（套）。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w:t>
      </w:r>
      <w:r>
        <w:rPr>
          <w:rFonts w:hint="default" w:ascii="Times New Roman" w:hAnsi="Times New Roman" w:eastAsia="仿宋_GB2312" w:cs="Times New Roman"/>
          <w:kern w:val="0"/>
          <w:sz w:val="32"/>
          <w:szCs w:val="32"/>
          <w:lang w:eastAsia="zh-CN"/>
        </w:rPr>
        <w:t>部门</w:t>
      </w:r>
      <w:r>
        <w:rPr>
          <w:rFonts w:hint="default" w:ascii="Times New Roman" w:hAnsi="Times New Roman" w:eastAsia="仿宋_GB2312" w:cs="Times New Roman"/>
          <w:kern w:val="0"/>
          <w:sz w:val="32"/>
          <w:szCs w:val="32"/>
        </w:rPr>
        <w:t>预算安排购置公务用车</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w:t>
      </w:r>
      <w:r>
        <w:rPr>
          <w:rFonts w:hint="default" w:ascii="Times New Roman" w:hAnsi="Times New Roman" w:eastAsia="仿宋_GB2312" w:cs="Times New Roman"/>
          <w:kern w:val="0"/>
          <w:sz w:val="32"/>
          <w:szCs w:val="32"/>
          <w:lang w:eastAsia="zh-CN"/>
        </w:rPr>
        <w:t>淮</w:t>
      </w:r>
      <w:r>
        <w:rPr>
          <w:rFonts w:hint="eastAsia" w:ascii="TimesNewRoman" w:hAnsi="TimesNewRoman" w:eastAsia="仿宋_GB2312" w:cs="TimesNewRoman"/>
          <w:kern w:val="0"/>
          <w:sz w:val="32"/>
          <w:szCs w:val="32"/>
          <w:lang w:eastAsia="zh-CN"/>
        </w:rPr>
        <w:t>北市人民政府国有资产监督管理委员会</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个项目实行了绩效目标管理，涉及一般公共预算当年财政拨款94.71万元、政府性基金预算当年财政拨款</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万元、财政专户管理资金当年安排</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6"/>
        <w:adjustRightInd w:val="0"/>
        <w:snapToGrid w:val="0"/>
        <w:spacing w:line="560" w:lineRule="exact"/>
        <w:jc w:val="center"/>
        <w:rPr>
          <w:rFonts w:ascii="TimesNewRoman" w:hAnsi="TimesNewRoman" w:eastAsia="黑体" w:cs="TimesNewRoman"/>
          <w:bCs/>
          <w:sz w:val="36"/>
          <w:szCs w:val="36"/>
        </w:rPr>
      </w:pPr>
    </w:p>
    <w:p>
      <w:pPr>
        <w:pStyle w:val="6"/>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6"/>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6"/>
        <w:adjustRightInd w:val="0"/>
        <w:snapToGrid w:val="0"/>
        <w:spacing w:line="560" w:lineRule="exact"/>
        <w:ind w:firstLine="630" w:firstLineChars="196"/>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4FF5E"/>
    <w:multiLevelType w:val="singleLevel"/>
    <w:tmpl w:val="6124FF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C3DA7"/>
    <w:rsid w:val="000E28EE"/>
    <w:rsid w:val="00267E33"/>
    <w:rsid w:val="004A4DC6"/>
    <w:rsid w:val="0057562B"/>
    <w:rsid w:val="00586FEC"/>
    <w:rsid w:val="006546AF"/>
    <w:rsid w:val="00726D96"/>
    <w:rsid w:val="00740B10"/>
    <w:rsid w:val="008F6D1A"/>
    <w:rsid w:val="009168AC"/>
    <w:rsid w:val="009A3CA3"/>
    <w:rsid w:val="00AE3242"/>
    <w:rsid w:val="00B964EC"/>
    <w:rsid w:val="00BD640A"/>
    <w:rsid w:val="00DB2A5C"/>
    <w:rsid w:val="00E907C4"/>
    <w:rsid w:val="00EC7755"/>
    <w:rsid w:val="00F45ECB"/>
    <w:rsid w:val="00F974AD"/>
    <w:rsid w:val="01F4352D"/>
    <w:rsid w:val="02B71C54"/>
    <w:rsid w:val="03C86A80"/>
    <w:rsid w:val="05410997"/>
    <w:rsid w:val="067A4160"/>
    <w:rsid w:val="06C21FD0"/>
    <w:rsid w:val="06D976A1"/>
    <w:rsid w:val="08156EA6"/>
    <w:rsid w:val="082C23D0"/>
    <w:rsid w:val="09FC6C3A"/>
    <w:rsid w:val="0A3B2AE6"/>
    <w:rsid w:val="0A646CF8"/>
    <w:rsid w:val="0ADD2F10"/>
    <w:rsid w:val="0C867E7E"/>
    <w:rsid w:val="0DE95727"/>
    <w:rsid w:val="123D6042"/>
    <w:rsid w:val="1319085D"/>
    <w:rsid w:val="16781D3E"/>
    <w:rsid w:val="17E51656"/>
    <w:rsid w:val="186C685D"/>
    <w:rsid w:val="1A8B192F"/>
    <w:rsid w:val="1CC45CDD"/>
    <w:rsid w:val="1D156539"/>
    <w:rsid w:val="1E390005"/>
    <w:rsid w:val="1EC50037"/>
    <w:rsid w:val="1F264A2D"/>
    <w:rsid w:val="1F812531"/>
    <w:rsid w:val="1FC41B50"/>
    <w:rsid w:val="1FD20711"/>
    <w:rsid w:val="22677590"/>
    <w:rsid w:val="22DE117B"/>
    <w:rsid w:val="233A73B2"/>
    <w:rsid w:val="27751FA5"/>
    <w:rsid w:val="296028EA"/>
    <w:rsid w:val="2BFB53D6"/>
    <w:rsid w:val="2C4249C3"/>
    <w:rsid w:val="2C534988"/>
    <w:rsid w:val="2D177764"/>
    <w:rsid w:val="2ED10EE4"/>
    <w:rsid w:val="2F77273B"/>
    <w:rsid w:val="2FEF6776"/>
    <w:rsid w:val="30D75275"/>
    <w:rsid w:val="32432DA9"/>
    <w:rsid w:val="32BA7335"/>
    <w:rsid w:val="331D7EC2"/>
    <w:rsid w:val="334943EF"/>
    <w:rsid w:val="33B73A4E"/>
    <w:rsid w:val="34F565DC"/>
    <w:rsid w:val="35B86441"/>
    <w:rsid w:val="3652180C"/>
    <w:rsid w:val="378C5915"/>
    <w:rsid w:val="389B0C93"/>
    <w:rsid w:val="39A75BF6"/>
    <w:rsid w:val="3A383AE9"/>
    <w:rsid w:val="3D69400B"/>
    <w:rsid w:val="3D7B789B"/>
    <w:rsid w:val="3E3363C7"/>
    <w:rsid w:val="3EA90437"/>
    <w:rsid w:val="3EEA6238"/>
    <w:rsid w:val="3FEA4714"/>
    <w:rsid w:val="42714D44"/>
    <w:rsid w:val="431A57FB"/>
    <w:rsid w:val="43D353AE"/>
    <w:rsid w:val="470524A8"/>
    <w:rsid w:val="47933E35"/>
    <w:rsid w:val="48C81A51"/>
    <w:rsid w:val="498168D1"/>
    <w:rsid w:val="4AB3193C"/>
    <w:rsid w:val="4AF8077D"/>
    <w:rsid w:val="4D4C4DB0"/>
    <w:rsid w:val="4E1C688B"/>
    <w:rsid w:val="4E710F72"/>
    <w:rsid w:val="4E832A53"/>
    <w:rsid w:val="4F9C69A4"/>
    <w:rsid w:val="50AC2B50"/>
    <w:rsid w:val="50D2381E"/>
    <w:rsid w:val="5126426B"/>
    <w:rsid w:val="521C11F4"/>
    <w:rsid w:val="53CF1D9C"/>
    <w:rsid w:val="53E47AF0"/>
    <w:rsid w:val="53E775E0"/>
    <w:rsid w:val="53F67AC7"/>
    <w:rsid w:val="54891A20"/>
    <w:rsid w:val="5503357A"/>
    <w:rsid w:val="55C776C9"/>
    <w:rsid w:val="567C4958"/>
    <w:rsid w:val="56852DC4"/>
    <w:rsid w:val="5A875D41"/>
    <w:rsid w:val="5B2575EE"/>
    <w:rsid w:val="5C3B671B"/>
    <w:rsid w:val="5CDA4186"/>
    <w:rsid w:val="5CE13766"/>
    <w:rsid w:val="5D7C0A64"/>
    <w:rsid w:val="5E257622"/>
    <w:rsid w:val="5ED119CB"/>
    <w:rsid w:val="5EDB5F93"/>
    <w:rsid w:val="62DE43C6"/>
    <w:rsid w:val="67380427"/>
    <w:rsid w:val="682D7860"/>
    <w:rsid w:val="682E1D56"/>
    <w:rsid w:val="6945507D"/>
    <w:rsid w:val="6DBB76BC"/>
    <w:rsid w:val="6E425D0A"/>
    <w:rsid w:val="6EB83BFB"/>
    <w:rsid w:val="6F1E7F02"/>
    <w:rsid w:val="70FE623D"/>
    <w:rsid w:val="74BC7AD2"/>
    <w:rsid w:val="75734190"/>
    <w:rsid w:val="78760DAF"/>
    <w:rsid w:val="79684009"/>
    <w:rsid w:val="79B060D9"/>
    <w:rsid w:val="79BC303D"/>
    <w:rsid w:val="7A164643"/>
    <w:rsid w:val="7B8F3F36"/>
    <w:rsid w:val="7D823D52"/>
    <w:rsid w:val="7DA71AC8"/>
    <w:rsid w:val="7ECF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Body Text"/>
    <w:basedOn w:val="1"/>
    <w:next w:val="1"/>
    <w:qFormat/>
    <w:uiPriority w:val="0"/>
    <w:pPr>
      <w:spacing w:after="12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99"/>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10489</Words>
  <Characters>11394</Characters>
  <Lines>46</Lines>
  <Paragraphs>13</Paragraphs>
  <TotalTime>0</TotalTime>
  <ScaleCrop>false</ScaleCrop>
  <LinksUpToDate>false</LinksUpToDate>
  <CharactersWithSpaces>11613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lenovo</cp:lastModifiedBy>
  <dcterms:modified xsi:type="dcterms:W3CDTF">2025-02-11T02:28:55Z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eyJoZGlkIjoiMzAyMTgzY2QwOWY2OTlhZDg4MDJjOGU5ZmFhMzdkYzkiLCJ1c2VySWQiOiI0MzUzNTk3OTgifQ==</vt:lpwstr>
  </property>
  <property fmtid="{D5CDD505-2E9C-101B-9397-08002B2CF9AE}" pid="3" name="KSOProductBuildVer">
    <vt:lpwstr>2052-11.1.0.10495</vt:lpwstr>
  </property>
  <property fmtid="{D5CDD505-2E9C-101B-9397-08002B2CF9AE}" pid="4" name="ICV">
    <vt:lpwstr>C3B1DE94E84B4552AB7D5236B26E606B_12</vt:lpwstr>
  </property>
</Properties>
</file>